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eastAsia="zh-CN"/>
        </w:rPr>
      </w:pPr>
      <w:r>
        <w:rPr>
          <w:rFonts w:hint="eastAsia"/>
          <w:sz w:val="28"/>
          <w:szCs w:val="28"/>
          <w:lang w:eastAsia="zh-CN"/>
        </w:rPr>
        <w:t>南京富尔登科技发展有限公司</w:t>
      </w:r>
    </w:p>
    <w:p>
      <w:pPr>
        <w:jc w:val="center"/>
        <w:rPr>
          <w:rFonts w:hint="eastAsia"/>
          <w:sz w:val="28"/>
          <w:szCs w:val="28"/>
          <w:lang w:eastAsia="zh-CN"/>
        </w:rPr>
      </w:pPr>
      <w:r>
        <w:rPr>
          <w:rFonts w:hint="eastAsia"/>
          <w:sz w:val="28"/>
          <w:szCs w:val="28"/>
          <w:lang w:eastAsia="zh-CN"/>
        </w:rPr>
        <w:t>电力安全运维智能化托管平台功能说明书</w:t>
      </w:r>
    </w:p>
    <w:p>
      <w:pPr>
        <w:jc w:val="both"/>
        <w:rPr>
          <w:rFonts w:hint="eastAsia"/>
          <w:sz w:val="28"/>
          <w:szCs w:val="28"/>
          <w:lang w:eastAsia="zh-CN"/>
        </w:rPr>
      </w:pPr>
    </w:p>
    <w:p>
      <w:pPr>
        <w:numPr>
          <w:ilvl w:val="0"/>
          <w:numId w:val="1"/>
        </w:numPr>
        <w:jc w:val="both"/>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总体功能描述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kern w:val="0"/>
          <w:sz w:val="28"/>
          <w:szCs w:val="28"/>
          <w:lang w:val="en-US" w:eastAsia="zh-CN" w:bidi="ar"/>
        </w:rPr>
        <w:t>随着国家电网改革政策的逐步推进和落实，普通线下运维模式已无法满足市场需求，也无法提前预警电气消灾之需要。富尔登公司针对市场和客户要求，开发的应用系统基于移动互联网、云计算技术、通过物联网传感终端，将客户的变配电设备实时运行状况，实时传输至安全的云服务平台，为用户提供不间断的数据跟踪、统计分析和安全监管，将平台发现的各种安全隐患信息及时进行预警，并推送给企业有关人员以及用户容许的运维单位，以方便其及时尽早的检查和预防、消除隐患。</w:t>
      </w:r>
    </w:p>
    <w:p>
      <w:pPr>
        <w:numPr>
          <w:ilvl w:val="0"/>
          <w:numId w:val="1"/>
        </w:numPr>
        <w:ind w:left="0" w:leftChars="0" w:firstLine="0" w:firstLineChars="0"/>
        <w:jc w:val="both"/>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应用范围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rFonts w:hint="eastAsia" w:ascii="仿宋_GB2312" w:hAnsi="仿宋_GB2312" w:eastAsia="仿宋_GB2312" w:cs="仿宋_GB2312"/>
          <w:i w:val="0"/>
          <w:caps w:val="0"/>
          <w:color w:val="333333"/>
          <w:spacing w:val="0"/>
          <w:kern w:val="0"/>
          <w:sz w:val="28"/>
          <w:szCs w:val="28"/>
          <w:lang w:val="en-US" w:eastAsia="zh-CN" w:bidi="ar"/>
        </w:rPr>
      </w:pPr>
      <w:r>
        <w:rPr>
          <w:rFonts w:hint="default" w:ascii="仿宋_GB2312" w:hAnsi="仿宋_GB2312" w:eastAsia="仿宋_GB2312" w:cs="仿宋_GB2312"/>
          <w:i w:val="0"/>
          <w:caps w:val="0"/>
          <w:color w:val="333333"/>
          <w:spacing w:val="0"/>
          <w:kern w:val="0"/>
          <w:sz w:val="28"/>
          <w:szCs w:val="28"/>
          <w:lang w:val="en-US" w:eastAsia="zh-CN" w:bidi="ar"/>
        </w:rPr>
        <w:t>（一）</w:t>
      </w:r>
      <w:r>
        <w:rPr>
          <w:rFonts w:hint="eastAsia" w:ascii="仿宋_GB2312" w:hAnsi="仿宋_GB2312" w:eastAsia="仿宋_GB2312" w:cs="仿宋_GB2312"/>
          <w:i w:val="0"/>
          <w:caps w:val="0"/>
          <w:color w:val="333333"/>
          <w:spacing w:val="0"/>
          <w:kern w:val="0"/>
          <w:sz w:val="28"/>
          <w:szCs w:val="28"/>
          <w:lang w:val="en-US" w:eastAsia="zh-CN" w:bidi="ar"/>
        </w:rPr>
        <w:t>各种大中小型企业</w:t>
      </w:r>
      <w:r>
        <w:rPr>
          <w:rFonts w:hint="default" w:ascii="仿宋_GB2312" w:hAnsi="仿宋_GB2312" w:eastAsia="仿宋_GB2312" w:cs="仿宋_GB2312"/>
          <w:i w:val="0"/>
          <w:caps w:val="0"/>
          <w:color w:val="333333"/>
          <w:spacing w:val="0"/>
          <w:kern w:val="0"/>
          <w:sz w:val="28"/>
          <w:szCs w:val="2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rFonts w:hint="default" w:ascii="仿宋_GB2312" w:hAnsi="仿宋_GB2312" w:eastAsia="仿宋_GB2312" w:cs="仿宋_GB2312"/>
          <w:i w:val="0"/>
          <w:caps w:val="0"/>
          <w:color w:val="333333"/>
          <w:spacing w:val="0"/>
          <w:kern w:val="0"/>
          <w:sz w:val="28"/>
          <w:szCs w:val="28"/>
          <w:lang w:val="en-US" w:eastAsia="zh-CN" w:bidi="ar"/>
        </w:rPr>
      </w:pPr>
      <w:r>
        <w:rPr>
          <w:rFonts w:hint="default" w:ascii="仿宋_GB2312" w:hAnsi="仿宋_GB2312" w:eastAsia="仿宋_GB2312" w:cs="仿宋_GB2312"/>
          <w:i w:val="0"/>
          <w:caps w:val="0"/>
          <w:color w:val="333333"/>
          <w:spacing w:val="0"/>
          <w:kern w:val="0"/>
          <w:sz w:val="28"/>
          <w:szCs w:val="28"/>
          <w:lang w:val="en-US" w:eastAsia="zh-CN" w:bidi="ar"/>
        </w:rPr>
        <w:t>（二）连锁商业、门店</w:t>
      </w:r>
      <w:r>
        <w:rPr>
          <w:rFonts w:hint="eastAsia" w:ascii="仿宋_GB2312" w:hAnsi="仿宋_GB2312" w:eastAsia="仿宋_GB2312" w:cs="仿宋_GB2312"/>
          <w:i w:val="0"/>
          <w:caps w:val="0"/>
          <w:color w:val="333333"/>
          <w:spacing w:val="0"/>
          <w:kern w:val="0"/>
          <w:sz w:val="28"/>
          <w:szCs w:val="28"/>
          <w:lang w:val="en-US" w:eastAsia="zh-CN" w:bidi="ar"/>
        </w:rPr>
        <w:t>、社区</w:t>
      </w:r>
      <w:r>
        <w:rPr>
          <w:rFonts w:hint="default" w:ascii="仿宋_GB2312" w:hAnsi="仿宋_GB2312" w:eastAsia="仿宋_GB2312" w:cs="仿宋_GB2312"/>
          <w:i w:val="0"/>
          <w:caps w:val="0"/>
          <w:color w:val="333333"/>
          <w:spacing w:val="0"/>
          <w:kern w:val="0"/>
          <w:sz w:val="28"/>
          <w:szCs w:val="2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rFonts w:hint="default" w:ascii="仿宋_GB2312" w:hAnsi="仿宋_GB2312" w:eastAsia="仿宋_GB2312" w:cs="仿宋_GB2312"/>
          <w:i w:val="0"/>
          <w:caps w:val="0"/>
          <w:color w:val="333333"/>
          <w:spacing w:val="0"/>
          <w:kern w:val="0"/>
          <w:sz w:val="28"/>
          <w:szCs w:val="28"/>
          <w:lang w:val="en-US" w:eastAsia="zh-CN" w:bidi="ar"/>
        </w:rPr>
      </w:pPr>
      <w:r>
        <w:rPr>
          <w:rFonts w:hint="default" w:ascii="仿宋_GB2312" w:hAnsi="仿宋_GB2312" w:eastAsia="仿宋_GB2312" w:cs="仿宋_GB2312"/>
          <w:i w:val="0"/>
          <w:caps w:val="0"/>
          <w:color w:val="333333"/>
          <w:spacing w:val="0"/>
          <w:kern w:val="0"/>
          <w:sz w:val="28"/>
          <w:szCs w:val="28"/>
          <w:lang w:val="en-US" w:eastAsia="zh-CN" w:bidi="ar"/>
        </w:rPr>
        <w:t>（三）</w:t>
      </w:r>
      <w:r>
        <w:rPr>
          <w:rFonts w:hint="eastAsia" w:ascii="仿宋_GB2312" w:hAnsi="仿宋_GB2312" w:eastAsia="仿宋_GB2312" w:cs="仿宋_GB2312"/>
          <w:i w:val="0"/>
          <w:caps w:val="0"/>
          <w:color w:val="333333"/>
          <w:spacing w:val="0"/>
          <w:kern w:val="0"/>
          <w:sz w:val="28"/>
          <w:szCs w:val="28"/>
          <w:lang w:val="en-US" w:eastAsia="zh-CN" w:bidi="ar"/>
        </w:rPr>
        <w:t>学校、医院、宾馆、车站、餐饮店等人流集中地区</w:t>
      </w:r>
      <w:r>
        <w:rPr>
          <w:rFonts w:hint="default" w:ascii="仿宋_GB2312" w:hAnsi="仿宋_GB2312" w:eastAsia="仿宋_GB2312" w:cs="仿宋_GB2312"/>
          <w:i w:val="0"/>
          <w:caps w:val="0"/>
          <w:color w:val="333333"/>
          <w:spacing w:val="0"/>
          <w:kern w:val="0"/>
          <w:sz w:val="28"/>
          <w:szCs w:val="2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20"/>
        <w:jc w:val="left"/>
        <w:rPr>
          <w:rFonts w:hint="default" w:ascii="仿宋_GB2312" w:hAnsi="仿宋_GB2312" w:eastAsia="仿宋_GB2312" w:cs="仿宋_GB2312"/>
          <w:i w:val="0"/>
          <w:caps w:val="0"/>
          <w:color w:val="333333"/>
          <w:spacing w:val="0"/>
          <w:kern w:val="0"/>
          <w:sz w:val="28"/>
          <w:szCs w:val="28"/>
          <w:lang w:val="en-US" w:eastAsia="zh-CN" w:bidi="ar"/>
        </w:rPr>
      </w:pPr>
      <w:r>
        <w:rPr>
          <w:rFonts w:hint="default" w:ascii="仿宋_GB2312" w:hAnsi="仿宋_GB2312" w:eastAsia="仿宋_GB2312" w:cs="仿宋_GB2312"/>
          <w:i w:val="0"/>
          <w:caps w:val="0"/>
          <w:color w:val="333333"/>
          <w:spacing w:val="0"/>
          <w:kern w:val="0"/>
          <w:sz w:val="28"/>
          <w:szCs w:val="28"/>
          <w:lang w:val="en-US" w:eastAsia="zh-CN" w:bidi="ar"/>
        </w:rPr>
        <w:t>（四）</w:t>
      </w:r>
      <w:r>
        <w:rPr>
          <w:rFonts w:hint="eastAsia" w:ascii="仿宋_GB2312" w:hAnsi="仿宋_GB2312" w:eastAsia="仿宋_GB2312" w:cs="仿宋_GB2312"/>
          <w:i w:val="0"/>
          <w:caps w:val="0"/>
          <w:color w:val="333333"/>
          <w:spacing w:val="0"/>
          <w:kern w:val="0"/>
          <w:sz w:val="28"/>
          <w:szCs w:val="28"/>
          <w:lang w:val="en-US" w:eastAsia="zh-CN" w:bidi="ar"/>
        </w:rPr>
        <w:t>易燃易爆重点防护区域</w:t>
      </w:r>
      <w:r>
        <w:rPr>
          <w:rFonts w:hint="default" w:ascii="仿宋_GB2312" w:hAnsi="仿宋_GB2312" w:eastAsia="仿宋_GB2312" w:cs="仿宋_GB2312"/>
          <w:i w:val="0"/>
          <w:caps w:val="0"/>
          <w:color w:val="333333"/>
          <w:spacing w:val="0"/>
          <w:kern w:val="0"/>
          <w:sz w:val="28"/>
          <w:szCs w:val="28"/>
          <w:lang w:val="en-US" w:eastAsia="zh-CN" w:bidi="ar"/>
        </w:rPr>
        <w:t>；</w:t>
      </w:r>
    </w:p>
    <w:p>
      <w:pPr>
        <w:numPr>
          <w:ilvl w:val="0"/>
          <w:numId w:val="0"/>
        </w:numPr>
        <w:ind w:leftChars="0"/>
        <w:jc w:val="both"/>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三、架构</w:t>
      </w:r>
    </w:p>
    <w:p>
      <w:pPr>
        <w:numPr>
          <w:ilvl w:val="0"/>
          <w:numId w:val="0"/>
        </w:numPr>
        <w:ind w:leftChars="0"/>
        <w:jc w:val="both"/>
        <w:rPr>
          <w:rFonts w:hint="eastAsia" w:ascii="仿宋_GB2312" w:hAnsi="仿宋_GB2312" w:eastAsia="仿宋_GB2312" w:cs="仿宋_GB2312"/>
          <w:b/>
          <w:bCs/>
          <w:sz w:val="28"/>
          <w:szCs w:val="28"/>
          <w:lang w:eastAsia="zh-CN"/>
        </w:rPr>
      </w:pPr>
    </w:p>
    <w:p>
      <w:pPr>
        <w:numPr>
          <w:ilvl w:val="0"/>
          <w:numId w:val="0"/>
        </w:numPr>
        <w:ind w:leftChars="0"/>
        <w:jc w:val="both"/>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项目基层为各类传感器接收或引出的数据；</w:t>
      </w:r>
    </w:p>
    <w:p>
      <w:pPr>
        <w:numPr>
          <w:ilvl w:val="0"/>
          <w:numId w:val="0"/>
        </w:numPr>
        <w:ind w:leftChars="0"/>
        <w:jc w:val="both"/>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传感器包括但不限于以下几种类型：温湿度监测传感器、漏电互感器、火灾探测器、断路器工作监测器、电流传感器、电压传感器、现场监控实时探头、各工作原器件电流、电压、温度、谐波、需要通过设计算法的得出功率、电能等等。</w:t>
      </w:r>
    </w:p>
    <w:p>
      <w:pPr>
        <w:numPr>
          <w:ilvl w:val="0"/>
          <w:numId w:val="0"/>
        </w:numPr>
        <w:ind w:leftChars="0"/>
        <w:jc w:val="both"/>
        <w:rPr>
          <w:rFonts w:hint="eastAsia" w:ascii="仿宋_GB2312" w:hAnsi="仿宋_GB2312" w:eastAsia="仿宋_GB2312" w:cs="仿宋_GB2312"/>
          <w:b w:val="0"/>
          <w:bCs w:val="0"/>
          <w:sz w:val="28"/>
          <w:szCs w:val="28"/>
          <w:lang w:eastAsia="zh-CN"/>
        </w:rPr>
      </w:pPr>
    </w:p>
    <w:p>
      <w:pPr>
        <w:numPr>
          <w:ilvl w:val="0"/>
          <w:numId w:val="0"/>
        </w:numPr>
        <w:ind w:leftChars="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项目中间层为基层数据信号收集，通过</w:t>
      </w:r>
      <w:r>
        <w:rPr>
          <w:rFonts w:hint="eastAsia" w:ascii="仿宋_GB2312" w:hAnsi="仿宋_GB2312" w:eastAsia="仿宋_GB2312" w:cs="仿宋_GB2312"/>
          <w:b w:val="0"/>
          <w:bCs w:val="0"/>
          <w:sz w:val="28"/>
          <w:szCs w:val="28"/>
          <w:lang w:val="en-US" w:eastAsia="zh-CN"/>
        </w:rPr>
        <w:t>4G、5G传输通道（可以是线缆、也可以是无线信号传输模式，传输到需要在现场进行安装的应用系统平台，包含手机的APP，并上传到维保单位租赁的云平台服务器。</w:t>
      </w:r>
    </w:p>
    <w:p>
      <w:pPr>
        <w:numPr>
          <w:ilvl w:val="0"/>
          <w:numId w:val="0"/>
        </w:numPr>
        <w:ind w:leftChars="0"/>
        <w:jc w:val="both"/>
        <w:rPr>
          <w:rFonts w:hint="eastAsia" w:ascii="仿宋_GB2312" w:hAnsi="仿宋_GB2312" w:eastAsia="仿宋_GB2312" w:cs="仿宋_GB2312"/>
          <w:b w:val="0"/>
          <w:bCs w:val="0"/>
          <w:sz w:val="28"/>
          <w:szCs w:val="28"/>
          <w:lang w:val="en-US" w:eastAsia="zh-CN"/>
        </w:rPr>
      </w:pPr>
    </w:p>
    <w:p>
      <w:pPr>
        <w:numPr>
          <w:ilvl w:val="0"/>
          <w:numId w:val="0"/>
        </w:numPr>
        <w:ind w:leftChars="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终端为维保单位应用系统平台，包含手机的APP，以及为展示所需要的显示器上；可以通过互联网在线接收到数据信号，并分类进行展示。</w:t>
      </w:r>
    </w:p>
    <w:p>
      <w:pPr>
        <w:numPr>
          <w:ilvl w:val="0"/>
          <w:numId w:val="0"/>
        </w:numPr>
        <w:ind w:leftChars="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示例图：</w:t>
      </w:r>
    </w:p>
    <w:p>
      <w:pPr>
        <w:numPr>
          <w:ilvl w:val="0"/>
          <w:numId w:val="0"/>
        </w:numPr>
        <w:ind w:leftChars="0"/>
        <w:jc w:val="both"/>
        <w:rPr>
          <w:rFonts w:hint="eastAsia" w:ascii="仿宋_GB2312" w:hAnsi="仿宋_GB2312" w:eastAsia="仿宋_GB2312" w:cs="仿宋_GB2312"/>
          <w:b w:val="0"/>
          <w:bCs w:val="0"/>
          <w:sz w:val="28"/>
          <w:szCs w:val="28"/>
          <w:lang w:val="en-US" w:eastAsia="zh-CN"/>
        </w:rPr>
      </w:pPr>
      <w:r>
        <w:drawing>
          <wp:inline distT="0" distB="0" distL="114300" distR="114300">
            <wp:extent cx="4117340" cy="3096260"/>
            <wp:effectExtent l="0" t="0" r="1651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117340" cy="3096260"/>
                    </a:xfrm>
                    <a:prstGeom prst="rect">
                      <a:avLst/>
                    </a:prstGeom>
                    <a:noFill/>
                    <a:ln>
                      <a:noFill/>
                    </a:ln>
                  </pic:spPr>
                </pic:pic>
              </a:graphicData>
            </a:graphic>
          </wp:inline>
        </w:drawing>
      </w:r>
    </w:p>
    <w:p>
      <w:pPr>
        <w:numPr>
          <w:ilvl w:val="0"/>
          <w:numId w:val="0"/>
        </w:numPr>
        <w:ind w:leftChars="0"/>
        <w:jc w:val="both"/>
        <w:rPr>
          <w:rFonts w:hint="eastAsia" w:ascii="仿宋_GB2312" w:hAnsi="仿宋_GB2312" w:eastAsia="仿宋_GB2312" w:cs="仿宋_GB2312"/>
          <w:b w:val="0"/>
          <w:bCs w:val="0"/>
          <w:sz w:val="28"/>
          <w:szCs w:val="28"/>
          <w:lang w:val="en-US" w:eastAsia="zh-CN"/>
        </w:rPr>
      </w:pPr>
    </w:p>
    <w:p>
      <w:pPr>
        <w:numPr>
          <w:ilvl w:val="0"/>
          <w:numId w:val="0"/>
        </w:numPr>
        <w:ind w:leftChars="0"/>
        <w:jc w:val="both"/>
        <w:rPr>
          <w:rFonts w:hint="eastAsia" w:ascii="仿宋_GB2312" w:hAnsi="仿宋_GB2312" w:eastAsia="仿宋_GB2312" w:cs="仿宋_GB2312"/>
          <w:b w:val="0"/>
          <w:bCs w:val="0"/>
          <w:sz w:val="28"/>
          <w:szCs w:val="28"/>
          <w:lang w:val="en-US" w:eastAsia="zh-CN"/>
        </w:rPr>
      </w:pPr>
    </w:p>
    <w:p>
      <w:pPr>
        <w:numPr>
          <w:ilvl w:val="0"/>
          <w:numId w:val="0"/>
        </w:numPr>
        <w:ind w:leftChars="0"/>
        <w:jc w:val="both"/>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四、各项功能应具备标准的描述</w:t>
      </w:r>
    </w:p>
    <w:p>
      <w:pPr>
        <w:numPr>
          <w:ilvl w:val="0"/>
          <w:numId w:val="0"/>
        </w:numPr>
        <w:ind w:leftChars="0"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1、实时监控</w:t>
      </w:r>
    </w:p>
    <w:p>
      <w:pPr>
        <w:numPr>
          <w:ilvl w:val="0"/>
          <w:numId w:val="0"/>
        </w:numPr>
        <w:ind w:leftChars="0" w:firstLine="560" w:firstLineChars="200"/>
        <w:jc w:val="both"/>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US" w:eastAsia="zh-CN"/>
        </w:rPr>
        <w:t>24小时监视各探测点的电流、温度、电压、谐波、功率、电能及设备动作情况，现场实时情况</w:t>
      </w:r>
      <w:r>
        <w:rPr>
          <w:rFonts w:hint="eastAsia" w:ascii="仿宋_GB2312" w:hAnsi="仿宋_GB2312" w:eastAsia="仿宋_GB2312" w:cs="仿宋_GB2312"/>
          <w:b w:val="0"/>
          <w:bCs w:val="0"/>
          <w:sz w:val="28"/>
          <w:szCs w:val="28"/>
          <w:lang w:eastAsia="zh-CN"/>
        </w:rPr>
        <w:t>。</w:t>
      </w:r>
    </w:p>
    <w:p>
      <w:pPr>
        <w:numPr>
          <w:ilvl w:val="0"/>
          <w:numId w:val="0"/>
        </w:numPr>
        <w:ind w:leftChars="0"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2、历史记录</w:t>
      </w:r>
    </w:p>
    <w:p>
      <w:pPr>
        <w:numPr>
          <w:ilvl w:val="0"/>
          <w:numId w:val="0"/>
        </w:numPr>
        <w:ind w:firstLine="56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所有告警信息及远程控制均被记录入日志，并可供用户方便查询。</w:t>
      </w:r>
    </w:p>
    <w:p>
      <w:pPr>
        <w:numPr>
          <w:ilvl w:val="0"/>
          <w:numId w:val="2"/>
        </w:numPr>
        <w:ind w:firstLine="56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数据分析</w:t>
      </w:r>
    </w:p>
    <w:p>
      <w:pPr>
        <w:numPr>
          <w:numId w:val="0"/>
        </w:numPr>
        <w:ind w:firstLine="56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针对采集的数据进行各种模型分析和报告，为用户消除安全隐患，提供能耗分析功能。</w:t>
      </w:r>
    </w:p>
    <w:p>
      <w:pPr>
        <w:numPr>
          <w:ilvl w:val="0"/>
          <w:numId w:val="2"/>
        </w:numPr>
        <w:ind w:left="0" w:leftChars="0" w:firstLine="560" w:firstLineChars="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报警提醒</w:t>
      </w:r>
    </w:p>
    <w:p>
      <w:pPr>
        <w:numPr>
          <w:numId w:val="0"/>
        </w:numPr>
        <w:ind w:firstLine="56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当平台收到报警或故障信息时，平台将以短信、电话或APP推送等方式通知管理人员、或是现场维保、值班人员，提醒关注故障状况，并采取相应的措施消除隐患。</w:t>
      </w:r>
    </w:p>
    <w:p>
      <w:pPr>
        <w:numPr>
          <w:ilvl w:val="0"/>
          <w:numId w:val="2"/>
        </w:numPr>
        <w:ind w:left="0" w:leftChars="0" w:firstLine="560" w:firstLineChars="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权限管理</w:t>
      </w:r>
    </w:p>
    <w:p>
      <w:pPr>
        <w:numPr>
          <w:numId w:val="0"/>
        </w:numPr>
        <w:ind w:firstLine="56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平台通过对用户类型实施分级管理以实现更高的信息安全，拥有相应授权的用户可以对授权范围内的项目、设备、探测器等监测数据和运行情况进行查看、配置修改。</w:t>
      </w:r>
    </w:p>
    <w:p>
      <w:pPr>
        <w:numPr>
          <w:ilvl w:val="0"/>
          <w:numId w:val="2"/>
        </w:numPr>
        <w:ind w:left="0" w:leftChars="0" w:firstLine="560" w:firstLineChars="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远程控制</w:t>
      </w:r>
    </w:p>
    <w:p>
      <w:pPr>
        <w:numPr>
          <w:numId w:val="0"/>
        </w:numPr>
        <w:ind w:firstLine="56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具备权限的管理人员可以远程设定探测器的各种参数值，或者对监控设备进行分断、复位、消音、自检和远程设置参数等操作，方便管理，同时提高工作效率。</w:t>
      </w:r>
    </w:p>
    <w:p>
      <w:pPr>
        <w:numPr>
          <w:ilvl w:val="0"/>
          <w:numId w:val="3"/>
        </w:numPr>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初验</w:t>
      </w:r>
    </w:p>
    <w:p>
      <w:pPr>
        <w:numPr>
          <w:numId w:val="0"/>
        </w:numPr>
        <w:ind w:firstLine="56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开发商根据以上功能和开发商编制的系统技术方案</w:t>
      </w:r>
      <w:r>
        <w:rPr>
          <w:rFonts w:hint="eastAsia" w:ascii="仿宋_GB2312" w:hAnsi="仿宋_GB2312" w:eastAsia="仿宋_GB2312" w:cs="仿宋_GB2312"/>
          <w:b/>
          <w:bCs/>
          <w:sz w:val="28"/>
          <w:szCs w:val="28"/>
          <w:lang w:val="en-US" w:eastAsia="zh-CN"/>
        </w:rPr>
        <w:t>（开发商提供的系统技术方案中所描述的污水站等字样，经和开发商沟通所指就是富尔登公司所要求的软件安装用户或是配变电室、柜）</w:t>
      </w:r>
      <w:r>
        <w:rPr>
          <w:rFonts w:hint="eastAsia" w:ascii="仿宋_GB2312" w:hAnsi="仿宋_GB2312" w:eastAsia="仿宋_GB2312" w:cs="仿宋_GB2312"/>
          <w:b w:val="0"/>
          <w:bCs w:val="0"/>
          <w:sz w:val="28"/>
          <w:szCs w:val="28"/>
          <w:lang w:val="en-US" w:eastAsia="zh-CN"/>
        </w:rPr>
        <w:t>所描述条款，完成了软件的整体开发工作，双方进行初次验收。</w:t>
      </w:r>
    </w:p>
    <w:p>
      <w:pPr>
        <w:numPr>
          <w:ilvl w:val="0"/>
          <w:numId w:val="3"/>
        </w:numPr>
        <w:ind w:left="0" w:leftChars="0" w:firstLine="0" w:firstLineChars="0"/>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移交</w:t>
      </w:r>
    </w:p>
    <w:p>
      <w:pPr>
        <w:pStyle w:val="4"/>
        <w:keepNext w:val="0"/>
        <w:keepLines w:val="0"/>
        <w:widowControl/>
        <w:suppressLineNumbers w:val="0"/>
        <w:shd w:val="clear"/>
        <w:spacing w:before="0" w:beforeAutospacing="0" w:after="240" w:afterAutospacing="0"/>
        <w:ind w:left="0" w:right="0" w:firstLine="560"/>
        <w:rPr>
          <w:rFonts w:hint="eastAsia" w:ascii="仿宋_GB2312" w:hAnsi="仿宋_GB2312" w:eastAsia="仿宋_GB2312" w:cs="仿宋_GB2312"/>
          <w:i w:val="0"/>
          <w:caps w:val="0"/>
          <w:color w:val="333333"/>
          <w:spacing w:val="8"/>
          <w:sz w:val="28"/>
          <w:szCs w:val="28"/>
          <w:shd w:val="clear" w:fill="FFFFFF"/>
        </w:rPr>
      </w:pPr>
      <w:r>
        <w:rPr>
          <w:rFonts w:hint="eastAsia" w:ascii="仿宋_GB2312" w:hAnsi="仿宋_GB2312" w:eastAsia="仿宋_GB2312" w:cs="仿宋_GB2312"/>
          <w:b w:val="0"/>
          <w:bCs w:val="0"/>
          <w:sz w:val="28"/>
          <w:szCs w:val="28"/>
          <w:lang w:val="en-US" w:eastAsia="zh-CN"/>
        </w:rPr>
        <w:t>开发商对开发的产品向甲方进行移交，需要但也不限制在涉及软件的任何文件，包含</w:t>
      </w:r>
      <w:r>
        <w:rPr>
          <w:rFonts w:hint="eastAsia" w:ascii="仿宋_GB2312" w:hAnsi="仿宋_GB2312" w:eastAsia="仿宋_GB2312" w:cs="仿宋_GB2312"/>
          <w:i w:val="0"/>
          <w:caps w:val="0"/>
          <w:color w:val="333333"/>
          <w:spacing w:val="8"/>
          <w:sz w:val="28"/>
          <w:szCs w:val="28"/>
          <w:shd w:val="clear" w:fill="FFFFFF"/>
        </w:rPr>
        <w:t>软件设计文件、开发各阶段文件及应用软件全部源代码。</w:t>
      </w:r>
    </w:p>
    <w:p>
      <w:pPr>
        <w:numPr>
          <w:ilvl w:val="0"/>
          <w:numId w:val="3"/>
        </w:numPr>
        <w:ind w:left="0" w:leftChars="0" w:firstLine="0" w:firstLineChars="0"/>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试运行</w:t>
      </w:r>
    </w:p>
    <w:p>
      <w:pPr>
        <w:pStyle w:val="4"/>
        <w:keepNext w:val="0"/>
        <w:keepLines w:val="0"/>
        <w:widowControl/>
        <w:suppressLineNumbers w:val="0"/>
        <w:shd w:val="clear"/>
        <w:spacing w:before="0" w:beforeAutospacing="0" w:after="240" w:afterAutospacing="0"/>
        <w:ind w:left="0" w:right="0" w:firstLine="0"/>
        <w:rPr>
          <w:rFonts w:hint="eastAsia" w:ascii="仿宋_GB2312" w:hAnsi="仿宋_GB2312" w:eastAsia="仿宋_GB2312" w:cs="仿宋_GB2312"/>
          <w:i w:val="0"/>
          <w:caps w:val="0"/>
          <w:color w:val="333333"/>
          <w:spacing w:val="8"/>
          <w:sz w:val="28"/>
          <w:szCs w:val="28"/>
        </w:rPr>
      </w:pPr>
      <w:r>
        <w:rPr>
          <w:rFonts w:hint="eastAsia" w:ascii="仿宋_GB2312" w:hAnsi="仿宋_GB2312" w:eastAsia="仿宋_GB2312" w:cs="仿宋_GB2312"/>
          <w:i w:val="0"/>
          <w:caps w:val="0"/>
          <w:color w:val="333333"/>
          <w:spacing w:val="8"/>
          <w:sz w:val="28"/>
          <w:szCs w:val="28"/>
          <w:shd w:val="clear" w:fill="FFFFFF"/>
          <w:lang w:val="en-US" w:eastAsia="zh-CN"/>
        </w:rPr>
        <w:t xml:space="preserve">    </w:t>
      </w:r>
      <w:r>
        <w:rPr>
          <w:rFonts w:hint="eastAsia" w:ascii="仿宋_GB2312" w:hAnsi="仿宋_GB2312" w:eastAsia="仿宋_GB2312" w:cs="仿宋_GB2312"/>
          <w:i w:val="0"/>
          <w:caps w:val="0"/>
          <w:color w:val="333333"/>
          <w:spacing w:val="8"/>
          <w:sz w:val="28"/>
          <w:szCs w:val="28"/>
          <w:shd w:val="clear" w:fill="FFFFFF"/>
        </w:rPr>
        <w:t>在初验合格后与最终验收之间的一段时间内对应用软件进行运行，</w:t>
      </w:r>
      <w:r>
        <w:rPr>
          <w:rFonts w:hint="eastAsia" w:ascii="仿宋_GB2312" w:hAnsi="仿宋_GB2312" w:eastAsia="仿宋_GB2312" w:cs="仿宋_GB2312"/>
          <w:i w:val="0"/>
          <w:caps w:val="0"/>
          <w:color w:val="333333"/>
          <w:spacing w:val="8"/>
          <w:sz w:val="28"/>
          <w:szCs w:val="28"/>
          <w:shd w:val="clear" w:fill="FFFFFF"/>
          <w:lang w:eastAsia="zh-CN"/>
        </w:rPr>
        <w:t>由富尔登公司来选定软件使用地，并在开发商的指导下进行硬件安装和软件安装以及调试，</w:t>
      </w:r>
      <w:r>
        <w:rPr>
          <w:rFonts w:hint="eastAsia" w:ascii="仿宋_GB2312" w:hAnsi="仿宋_GB2312" w:eastAsia="仿宋_GB2312" w:cs="仿宋_GB2312"/>
          <w:i w:val="0"/>
          <w:caps w:val="0"/>
          <w:color w:val="333333"/>
          <w:spacing w:val="8"/>
          <w:sz w:val="28"/>
          <w:szCs w:val="28"/>
          <w:shd w:val="clear" w:fill="FFFFFF"/>
        </w:rPr>
        <w:t>用来证明应用软件的指标是否达到</w:t>
      </w:r>
      <w:r>
        <w:rPr>
          <w:rFonts w:hint="eastAsia" w:ascii="仿宋_GB2312" w:hAnsi="仿宋_GB2312" w:eastAsia="仿宋_GB2312" w:cs="仿宋_GB2312"/>
          <w:i w:val="0"/>
          <w:caps w:val="0"/>
          <w:color w:val="333333"/>
          <w:spacing w:val="8"/>
          <w:sz w:val="28"/>
          <w:szCs w:val="28"/>
          <w:shd w:val="clear" w:fill="FFFFFF"/>
          <w:lang w:eastAsia="zh-CN"/>
        </w:rPr>
        <w:t>“功能说明书以及开发商系统技术方案</w:t>
      </w:r>
      <w:r>
        <w:rPr>
          <w:rFonts w:hint="eastAsia" w:ascii="仿宋_GB2312" w:hAnsi="仿宋_GB2312" w:eastAsia="仿宋_GB2312" w:cs="仿宋_GB2312"/>
          <w:i w:val="0"/>
          <w:caps w:val="0"/>
          <w:color w:val="333333"/>
          <w:spacing w:val="8"/>
          <w:sz w:val="28"/>
          <w:szCs w:val="28"/>
          <w:shd w:val="clear" w:fill="FFFFFF"/>
        </w:rPr>
        <w:t>中</w:t>
      </w:r>
      <w:r>
        <w:rPr>
          <w:rFonts w:hint="eastAsia" w:ascii="仿宋_GB2312" w:hAnsi="仿宋_GB2312" w:eastAsia="仿宋_GB2312" w:cs="仿宋_GB2312"/>
          <w:i w:val="0"/>
          <w:caps w:val="0"/>
          <w:color w:val="333333"/>
          <w:spacing w:val="8"/>
          <w:sz w:val="28"/>
          <w:szCs w:val="28"/>
          <w:shd w:val="clear" w:fill="FFFFFF"/>
          <w:lang w:eastAsia="zh-CN"/>
        </w:rPr>
        <w:t>”</w:t>
      </w:r>
      <w:r>
        <w:rPr>
          <w:rFonts w:hint="eastAsia" w:ascii="仿宋_GB2312" w:hAnsi="仿宋_GB2312" w:eastAsia="仿宋_GB2312" w:cs="仿宋_GB2312"/>
          <w:i w:val="0"/>
          <w:caps w:val="0"/>
          <w:color w:val="333333"/>
          <w:spacing w:val="8"/>
          <w:sz w:val="28"/>
          <w:szCs w:val="28"/>
          <w:shd w:val="clear" w:fill="FFFFFF"/>
        </w:rPr>
        <w:t>规定的所有要求。</w:t>
      </w:r>
    </w:p>
    <w:p>
      <w:pPr>
        <w:numPr>
          <w:ilvl w:val="0"/>
          <w:numId w:val="3"/>
        </w:numPr>
        <w:ind w:left="0" w:leftChars="0" w:firstLine="0" w:firstLineChars="0"/>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终验</w:t>
      </w:r>
    </w:p>
    <w:p>
      <w:pPr>
        <w:pStyle w:val="4"/>
        <w:keepNext w:val="0"/>
        <w:keepLines w:val="0"/>
        <w:widowControl/>
        <w:numPr>
          <w:numId w:val="0"/>
        </w:numPr>
        <w:suppressLineNumbers w:val="0"/>
        <w:shd w:val="clear"/>
        <w:spacing w:before="0" w:beforeAutospacing="0" w:after="240" w:afterAutospacing="0"/>
        <w:ind w:leftChars="0" w:right="0" w:rightChars="0"/>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i w:val="0"/>
          <w:caps w:val="0"/>
          <w:color w:val="333333"/>
          <w:spacing w:val="8"/>
          <w:sz w:val="28"/>
          <w:szCs w:val="28"/>
          <w:shd w:val="clear" w:fill="FFFFFF"/>
          <w:lang w:val="en-US" w:eastAsia="zh-CN"/>
        </w:rPr>
        <w:t xml:space="preserve">    根据功能说明书以及开发商系统技术方案、现场实际运行情况综合评价开发产品是否符合要求，达到即可完成验收标准。</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DixEvZxAIAANYFAAAOAAAA&#10;AAAAAAEAIAAAAB8BAABkcnMvZTJvRG9jLnhtbFBLBQYAAAAABgAGAFkBAABV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F71FA1"/>
    <w:multiLevelType w:val="singleLevel"/>
    <w:tmpl w:val="D3F71FA1"/>
    <w:lvl w:ilvl="0" w:tentative="0">
      <w:start w:val="3"/>
      <w:numFmt w:val="decimal"/>
      <w:suff w:val="nothing"/>
      <w:lvlText w:val="%1、"/>
      <w:lvlJc w:val="left"/>
    </w:lvl>
  </w:abstractNum>
  <w:abstractNum w:abstractNumId="1">
    <w:nsid w:val="62876292"/>
    <w:multiLevelType w:val="singleLevel"/>
    <w:tmpl w:val="62876292"/>
    <w:lvl w:ilvl="0" w:tentative="0">
      <w:start w:val="5"/>
      <w:numFmt w:val="chineseCounting"/>
      <w:suff w:val="nothing"/>
      <w:lvlText w:val="%1、"/>
      <w:lvlJc w:val="left"/>
      <w:rPr>
        <w:rFonts w:hint="eastAsia"/>
      </w:rPr>
    </w:lvl>
  </w:abstractNum>
  <w:abstractNum w:abstractNumId="2">
    <w:nsid w:val="713862FC"/>
    <w:multiLevelType w:val="singleLevel"/>
    <w:tmpl w:val="713862FC"/>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C60CC"/>
    <w:rsid w:val="206E6F85"/>
    <w:rsid w:val="28327BD7"/>
    <w:rsid w:val="28E658CF"/>
    <w:rsid w:val="296138DB"/>
    <w:rsid w:val="371A41D6"/>
    <w:rsid w:val="4701731C"/>
    <w:rsid w:val="4B8D2A50"/>
    <w:rsid w:val="4E7A0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2019-12-04T03:03:00Z</dcterms:created>
  <dc:creator>Administrator</dc:creator>
  <cp:lastModifiedBy>杨平化</cp:lastModifiedBy>
  <dcterms:modified xsi:type="dcterms:W3CDTF">2019-12-05T06:24:26Z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