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Times New Roman" w:eastAsia="宋体" w:cs="Times New Roman"/>
          <w:b/>
          <w:bCs/>
          <w:color w:val="auto"/>
          <w:sz w:val="36"/>
          <w:szCs w:val="36"/>
        </w:rPr>
      </w:pPr>
      <w:r>
        <w:rPr>
          <w:rFonts w:hint="eastAsia" w:ascii="宋体" w:hAnsi="Times New Roman" w:eastAsia="宋体" w:cs="Times New Roman"/>
          <w:b/>
          <w:bCs/>
          <w:color w:val="auto"/>
          <w:sz w:val="36"/>
          <w:szCs w:val="36"/>
        </w:rPr>
        <w:t>驻苏高校院所苏北五市产学研合作对接活动</w:t>
      </w:r>
      <w:bookmarkStart w:id="0" w:name="_GoBack"/>
      <w:bookmarkEnd w:id="0"/>
      <w:r>
        <w:rPr>
          <w:rFonts w:hint="eastAsia" w:ascii="宋体" w:hAnsi="Times New Roman" w:eastAsia="宋体" w:cs="Times New Roman"/>
          <w:b/>
          <w:bCs/>
          <w:color w:val="auto"/>
          <w:sz w:val="36"/>
          <w:szCs w:val="36"/>
        </w:rPr>
        <w:t>成果征集表</w:t>
      </w:r>
    </w:p>
    <w:p>
      <w:pPr>
        <w:widowControl/>
        <w:jc w:val="left"/>
        <w:rPr>
          <w:rFonts w:ascii="宋体" w:hAnsi="宋体" w:eastAsia="宋体" w:cs="宋体"/>
          <w:color w:val="auto"/>
          <w:kern w:val="0"/>
          <w:sz w:val="24"/>
          <w:szCs w:val="24"/>
        </w:rPr>
      </w:pPr>
    </w:p>
    <w:tbl>
      <w:tblPr>
        <w:tblStyle w:val="2"/>
        <w:tblW w:w="12660" w:type="dxa"/>
        <w:tblInd w:w="0" w:type="dxa"/>
        <w:shd w:val="clear" w:color="auto" w:fill="F5F6F7"/>
        <w:tblLayout w:type="autofit"/>
        <w:tblCellMar>
          <w:top w:w="15" w:type="dxa"/>
          <w:left w:w="15" w:type="dxa"/>
          <w:bottom w:w="15" w:type="dxa"/>
          <w:right w:w="15" w:type="dxa"/>
        </w:tblCellMar>
      </w:tblPr>
      <w:tblGrid>
        <w:gridCol w:w="6330"/>
        <w:gridCol w:w="6330"/>
      </w:tblGrid>
      <w:tr>
        <w:tblPrEx>
          <w:shd w:val="clear" w:color="auto" w:fill="F5F6F7"/>
          <w:tblCellMar>
            <w:top w:w="15" w:type="dxa"/>
            <w:left w:w="15" w:type="dxa"/>
            <w:bottom w:w="15" w:type="dxa"/>
            <w:right w:w="15" w:type="dxa"/>
          </w:tblCellMar>
        </w:tblPrEx>
        <w:tc>
          <w:tcPr>
            <w:tcW w:w="2500" w:type="pct"/>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科技计划</w:t>
            </w:r>
          </w:p>
        </w:tc>
        <w:tc>
          <w:tcPr>
            <w:tcW w:w="2500" w:type="pct"/>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成果形式</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auto"/>
            <w:tcMar>
              <w:top w:w="120" w:type="dxa"/>
              <w:left w:w="120" w:type="dxa"/>
              <w:bottom w:w="120" w:type="dxa"/>
              <w:right w:w="120" w:type="dxa"/>
            </w:tcMar>
          </w:tcPr>
          <w:p>
            <w:pPr>
              <w:keepNext w:val="0"/>
              <w:keepLines w:val="0"/>
              <w:widowControl/>
              <w:suppressLineNumbers w:val="0"/>
              <w:jc w:val="left"/>
              <w:rPr>
                <w:rFonts w:ascii="微软雅黑" w:hAnsi="微软雅黑" w:eastAsia="微软雅黑" w:cs="宋体"/>
                <w:color w:val="auto"/>
                <w:kern w:val="0"/>
                <w:szCs w:val="21"/>
              </w:rPr>
            </w:pPr>
            <w:r>
              <w:rPr>
                <w:rFonts w:hint="default" w:ascii="微软雅黑" w:hAnsi="微软雅黑" w:eastAsia="微软雅黑" w:cs="宋体"/>
                <w:b/>
                <w:bCs/>
                <w:color w:val="auto"/>
                <w:kern w:val="0"/>
                <w:szCs w:val="21"/>
                <w:lang w:val="en-US" w:eastAsia="zh-CN"/>
              </w:rPr>
              <w:t>第二代三唑类抗真菌药物</w:t>
            </w:r>
            <w:r>
              <w:rPr>
                <w:rFonts w:hint="eastAsia" w:ascii="微软雅黑" w:hAnsi="微软雅黑" w:eastAsia="微软雅黑" w:cs="宋体"/>
                <w:b/>
                <w:bCs/>
                <w:color w:val="auto"/>
                <w:kern w:val="0"/>
                <w:szCs w:val="21"/>
                <w:lang w:val="en-US" w:eastAsia="zh-CN"/>
              </w:rPr>
              <w:t>泊沙康唑等的</w:t>
            </w:r>
            <w:r>
              <w:rPr>
                <w:rFonts w:hint="default" w:ascii="微软雅黑" w:hAnsi="微软雅黑" w:eastAsia="微软雅黑" w:cs="宋体"/>
                <w:b/>
                <w:bCs/>
                <w:color w:val="auto"/>
                <w:kern w:val="0"/>
                <w:szCs w:val="21"/>
                <w:lang w:val="en-US" w:eastAsia="zh-CN"/>
              </w:rPr>
              <w:t>合成技术</w:t>
            </w:r>
          </w:p>
        </w:tc>
        <w:tc>
          <w:tcPr>
            <w:tcW w:w="0" w:type="auto"/>
            <w:tcBorders>
              <w:top w:val="single" w:color="DDDDDD" w:sz="6" w:space="0"/>
            </w:tcBorders>
            <w:shd w:val="clear" w:color="auto" w:fill="auto"/>
            <w:tcMar>
              <w:top w:w="120" w:type="dxa"/>
              <w:left w:w="120" w:type="dxa"/>
              <w:bottom w:w="120" w:type="dxa"/>
              <w:right w:w="120" w:type="dxa"/>
            </w:tcMar>
          </w:tcPr>
          <w:p>
            <w:pPr>
              <w:widowControl/>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新技术、新工艺</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合作方式</w:t>
            </w:r>
          </w:p>
        </w:tc>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参加活动</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auto"/>
            <w:tcMar>
              <w:top w:w="120" w:type="dxa"/>
              <w:left w:w="120" w:type="dxa"/>
              <w:bottom w:w="120" w:type="dxa"/>
              <w:right w:w="120" w:type="dxa"/>
            </w:tcMa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技术转让、技术开发、技术咨询、技术服务</w:t>
            </w:r>
          </w:p>
        </w:tc>
        <w:tc>
          <w:tcPr>
            <w:tcW w:w="0" w:type="auto"/>
            <w:tcBorders>
              <w:top w:val="single" w:color="DDDDDD" w:sz="6" w:space="0"/>
            </w:tcBorders>
            <w:shd w:val="clear" w:color="auto" w:fill="auto"/>
            <w:tcMar>
              <w:top w:w="120" w:type="dxa"/>
              <w:left w:w="120" w:type="dxa"/>
              <w:bottom w:w="120" w:type="dxa"/>
              <w:right w:w="120" w:type="dxa"/>
            </w:tcMar>
          </w:tcPr>
          <w:p>
            <w:pPr>
              <w:widowControl/>
              <w:jc w:val="left"/>
              <w:rPr>
                <w:rFonts w:hint="eastAsia"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lang w:val="en-US" w:eastAsia="zh-CN"/>
              </w:rPr>
              <w:t>参加</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专利情况</w:t>
            </w:r>
          </w:p>
        </w:tc>
        <w:tc>
          <w:tcPr>
            <w:tcW w:w="0" w:type="auto"/>
            <w:shd w:val="clear" w:color="auto" w:fill="F5F6F7"/>
            <w:vAlign w:val="center"/>
          </w:tcPr>
          <w:p>
            <w:pPr>
              <w:widowControl/>
              <w:jc w:val="left"/>
              <w:rPr>
                <w:rFonts w:ascii="Times New Roman" w:hAnsi="Times New Roman" w:eastAsia="Times New Roman" w:cs="Times New Roman"/>
                <w:color w:val="auto"/>
                <w:kern w:val="0"/>
                <w:sz w:val="20"/>
                <w:szCs w:val="20"/>
              </w:rPr>
            </w:pPr>
          </w:p>
        </w:tc>
      </w:tr>
      <w:tr>
        <w:tblPrEx>
          <w:shd w:val="clear" w:color="auto" w:fill="F5F6F7"/>
          <w:tblCellMar>
            <w:top w:w="15" w:type="dxa"/>
            <w:left w:w="15" w:type="dxa"/>
            <w:bottom w:w="15" w:type="dxa"/>
            <w:right w:w="15" w:type="dxa"/>
          </w:tblCellMar>
        </w:tblPrEx>
        <w:tc>
          <w:tcPr>
            <w:tcW w:w="0" w:type="auto"/>
            <w:vMerge w:val="restart"/>
            <w:tcBorders>
              <w:top w:val="single" w:color="DDDDDD" w:sz="6" w:space="0"/>
            </w:tcBorders>
            <w:shd w:val="clear" w:color="auto" w:fill="auto"/>
            <w:tcMar>
              <w:top w:w="120" w:type="dxa"/>
              <w:left w:w="120" w:type="dxa"/>
              <w:bottom w:w="120" w:type="dxa"/>
              <w:right w:w="120" w:type="dxa"/>
            </w:tcMa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lang w:val="en-US" w:eastAsia="zh-CN"/>
              </w:rPr>
              <w:t>已</w:t>
            </w:r>
            <w:r>
              <w:rPr>
                <w:rFonts w:hint="eastAsia" w:ascii="微软雅黑" w:hAnsi="微软雅黑" w:eastAsia="微软雅黑" w:cs="宋体"/>
                <w:color w:val="auto"/>
                <w:kern w:val="0"/>
                <w:szCs w:val="21"/>
              </w:rPr>
              <w:t>申请专利</w:t>
            </w:r>
          </w:p>
        </w:tc>
        <w:tc>
          <w:tcPr>
            <w:tcW w:w="0" w:type="auto"/>
            <w:shd w:val="clear" w:color="auto" w:fill="F5F6F7"/>
            <w:vAlign w:val="center"/>
          </w:tcPr>
          <w:p>
            <w:pPr>
              <w:widowControl/>
              <w:jc w:val="left"/>
              <w:rPr>
                <w:rFonts w:ascii="Times New Roman" w:hAnsi="Times New Roman" w:eastAsia="Times New Roman" w:cs="Times New Roman"/>
                <w:color w:val="auto"/>
                <w:kern w:val="0"/>
                <w:sz w:val="20"/>
                <w:szCs w:val="20"/>
              </w:rPr>
            </w:pPr>
          </w:p>
        </w:tc>
      </w:tr>
      <w:tr>
        <w:tblPrEx>
          <w:shd w:val="clear" w:color="auto" w:fill="F5F6F7"/>
          <w:tblCellMar>
            <w:top w:w="15" w:type="dxa"/>
            <w:left w:w="15" w:type="dxa"/>
            <w:bottom w:w="15" w:type="dxa"/>
            <w:right w:w="15" w:type="dxa"/>
          </w:tblCellMar>
        </w:tblPrEx>
        <w:trPr>
          <w:gridAfter w:val="1"/>
          <w:wAfter w:w="6330" w:type="dxa"/>
          <w:trHeight w:val="624" w:hRule="atLeast"/>
        </w:trPr>
        <w:tc>
          <w:tcPr>
            <w:tcW w:w="0" w:type="auto"/>
            <w:vMerge w:val="continue"/>
            <w:tcBorders>
              <w:top w:val="single" w:color="DDDDDD" w:sz="6" w:space="0"/>
            </w:tcBorders>
            <w:shd w:val="clear" w:color="auto" w:fill="F5F6F7"/>
            <w:vAlign w:val="center"/>
          </w:tcPr>
          <w:p>
            <w:pPr>
              <w:widowControl/>
              <w:jc w:val="left"/>
              <w:rPr>
                <w:rFonts w:ascii="微软雅黑" w:hAnsi="微软雅黑" w:eastAsia="微软雅黑" w:cs="宋体"/>
                <w:color w:val="auto"/>
                <w:kern w:val="0"/>
                <w:szCs w:val="21"/>
              </w:rPr>
            </w:pPr>
          </w:p>
        </w:tc>
      </w:tr>
    </w:tbl>
    <w:p>
      <w:pPr>
        <w:widowControl/>
        <w:spacing w:before="240" w:after="240"/>
        <w:jc w:val="left"/>
        <w:rPr>
          <w:rFonts w:ascii="宋体" w:hAnsi="宋体" w:eastAsia="宋体" w:cs="宋体"/>
          <w:color w:val="auto"/>
          <w:kern w:val="0"/>
          <w:sz w:val="24"/>
          <w:szCs w:val="24"/>
        </w:rPr>
      </w:pPr>
      <w:r>
        <w:rPr>
          <w:rFonts w:ascii="宋体" w:hAnsi="宋体" w:eastAsia="宋体" w:cs="宋体"/>
          <w:color w:val="auto"/>
          <w:kern w:val="0"/>
          <w:sz w:val="24"/>
          <w:szCs w:val="24"/>
        </w:rPr>
        <w:pict>
          <v:rect id="_x0000_i1025" o:spt="1" style="height:0.75pt;width:0pt;" fillcolor="#273240" filled="t" stroked="f" coordsize="21600,21600" o:hr="t" o:hrstd="t" o:hrnoshade="t" o:hralign="center">
            <v:path/>
            <v:fill on="t" focussize="0,0"/>
            <v:stroke on="f"/>
            <v:imagedata o:title=""/>
            <o:lock v:ext="edit"/>
            <w10:wrap type="none"/>
            <w10:anchorlock/>
          </v:rect>
        </w:pict>
      </w:r>
    </w:p>
    <w:p>
      <w:pPr>
        <w:widowControl/>
        <w:shd w:val="clear" w:color="auto" w:fill="F5F6F7"/>
        <w:spacing w:before="150" w:after="150" w:line="480" w:lineRule="atLeast"/>
        <w:jc w:val="left"/>
        <w:outlineLvl w:val="3"/>
        <w:rPr>
          <w:rFonts w:ascii="微软雅黑" w:hAnsi="微软雅黑" w:eastAsia="微软雅黑" w:cs="宋体"/>
          <w:b/>
          <w:bCs/>
          <w:color w:val="auto"/>
          <w:kern w:val="0"/>
          <w:sz w:val="27"/>
          <w:szCs w:val="27"/>
        </w:rPr>
      </w:pPr>
      <w:r>
        <w:rPr>
          <w:rFonts w:hint="eastAsia" w:ascii="微软雅黑" w:hAnsi="微软雅黑" w:eastAsia="微软雅黑" w:cs="宋体"/>
          <w:b/>
          <w:bCs/>
          <w:color w:val="auto"/>
          <w:kern w:val="0"/>
          <w:sz w:val="27"/>
          <w:szCs w:val="27"/>
        </w:rPr>
        <w:t>成果简介</w:t>
      </w:r>
    </w:p>
    <w:tbl>
      <w:tblPr>
        <w:tblStyle w:val="2"/>
        <w:tblW w:w="12660" w:type="dxa"/>
        <w:tblInd w:w="0" w:type="dxa"/>
        <w:shd w:val="clear" w:color="auto" w:fill="F5F6F7"/>
        <w:tblLayout w:type="autofit"/>
        <w:tblCellMar>
          <w:top w:w="15" w:type="dxa"/>
          <w:left w:w="15" w:type="dxa"/>
          <w:bottom w:w="15" w:type="dxa"/>
          <w:right w:w="15" w:type="dxa"/>
        </w:tblCellMar>
      </w:tblPr>
      <w:tblGrid>
        <w:gridCol w:w="12660"/>
      </w:tblGrid>
      <w:tr>
        <w:tblPrEx>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综合介绍</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auto"/>
            <w:tcMar>
              <w:top w:w="120" w:type="dxa"/>
              <w:left w:w="120" w:type="dxa"/>
              <w:bottom w:w="120" w:type="dxa"/>
              <w:right w:w="120" w:type="dxa"/>
            </w:tcMa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val="0"/>
              <w:overflowPunct/>
              <w:topLinePunct w:val="0"/>
              <w:autoSpaceDE/>
              <w:autoSpaceDN/>
              <w:bidi w:val="0"/>
              <w:adjustRightInd/>
              <w:snapToGrid/>
              <w:spacing w:line="312" w:lineRule="auto"/>
              <w:ind w:firstLine="420" w:firstLineChars="200"/>
              <w:jc w:val="left"/>
              <w:textAlignment w:val="auto"/>
              <w:rPr>
                <w:rFonts w:hint="eastAsia" w:cs="Times New Roman"/>
                <w:b/>
                <w:bCs/>
                <w:color w:val="auto"/>
                <w:sz w:val="24"/>
                <w:szCs w:val="24"/>
                <w:lang w:val="en-US" w:eastAsia="zh-CN"/>
              </w:rPr>
            </w:pPr>
            <w:r>
              <w:rPr>
                <w:rFonts w:hint="eastAsia" w:cs="Times New Roman"/>
                <w:b w:val="0"/>
                <w:bCs w:val="0"/>
                <w:color w:val="auto"/>
                <w:sz w:val="21"/>
                <w:szCs w:val="21"/>
                <w:lang w:val="en-US" w:eastAsia="zh-CN"/>
              </w:rPr>
              <w:t>随着器官移植和导管技术的推厂，广谱抗生素、抗肿瘤、免疫抑制剂的大量使用以及免疫缺陷和抗生素耐药患者的增加，侵袭性真菌病的发病率和致死率显著上升，严重威胁人类健康，针对该领域的药物防治已成为新的研究热点。目前，治疗侵袭性真菌病的药物主要包括：多烯类、唑类、氟嘧啶类。其中，</w:t>
            </w:r>
            <w:r>
              <w:rPr>
                <w:rFonts w:hint="eastAsia" w:cs="Times New Roman"/>
                <w:b/>
                <w:bCs/>
                <w:color w:val="auto"/>
                <w:sz w:val="21"/>
                <w:szCs w:val="21"/>
                <w:lang w:val="en-US" w:eastAsia="zh-CN"/>
              </w:rPr>
              <w:t>三唑类抗真菌药物</w:t>
            </w:r>
            <w:r>
              <w:rPr>
                <w:rFonts w:hint="eastAsia" w:cs="Times New Roman"/>
                <w:b w:val="0"/>
                <w:bCs w:val="0"/>
                <w:color w:val="auto"/>
                <w:sz w:val="21"/>
                <w:szCs w:val="21"/>
                <w:lang w:val="en-US" w:eastAsia="zh-CN"/>
              </w:rPr>
              <w:t>具有抗菌能力强和毒性低的特点，临床应用较广。但第一代药物存在抗菌谱窄、生物利用度低以及易产生耐药性等局限，不能完全满足临床治疗的需要，</w:t>
            </w:r>
            <w:r>
              <w:rPr>
                <w:rFonts w:hint="default" w:ascii="Times New Roman" w:hAnsi="Times New Roman" w:eastAsia="宋体" w:cs="Times New Roman"/>
                <w:color w:val="auto"/>
                <w:sz w:val="24"/>
                <w:szCs w:val="24"/>
                <w:lang w:eastAsia="zh-CN"/>
              </w:rPr>
              <w:t>泊沙康唑</w:t>
            </w:r>
            <w:r>
              <w:rPr>
                <w:rFonts w:hint="eastAsia" w:cs="Times New Roman"/>
                <w:color w:val="auto"/>
                <w:sz w:val="24"/>
                <w:szCs w:val="24"/>
                <w:lang w:eastAsia="zh-CN"/>
              </w:rPr>
              <w:t>、</w:t>
            </w:r>
            <w:r>
              <w:rPr>
                <w:rFonts w:hint="eastAsia" w:cs="Times New Roman"/>
                <w:b w:val="0"/>
                <w:bCs w:val="0"/>
                <w:color w:val="auto"/>
                <w:sz w:val="21"/>
                <w:szCs w:val="21"/>
                <w:lang w:val="en-US" w:eastAsia="zh-CN"/>
              </w:rPr>
              <w:t>伏立康唑等第二代三唑类抗真菌药物己成为侵袭性真菌病预防和治疗的</w:t>
            </w:r>
            <w:r>
              <w:rPr>
                <w:rFonts w:hint="eastAsia" w:cs="Times New Roman"/>
                <w:b/>
                <w:bCs/>
                <w:color w:val="auto"/>
                <w:sz w:val="21"/>
                <w:szCs w:val="21"/>
                <w:lang w:val="en-US" w:eastAsia="zh-CN"/>
              </w:rPr>
              <w:t>一线药物</w:t>
            </w:r>
            <w:r>
              <w:rPr>
                <w:rFonts w:hint="eastAsia" w:cs="Times New Roman"/>
                <w:b w:val="0"/>
                <w:bCs w:val="0"/>
                <w:color w:val="auto"/>
                <w:sz w:val="21"/>
                <w:szCs w:val="21"/>
                <w:lang w:val="en-US" w:eastAsia="zh-CN"/>
              </w:rPr>
              <w:t>。且随着我国卫生医疗水平的不断提高，儿科侵袭性真菌病已逐渐引起人们关注，其中第二代三唑类抗真菌药物将起到</w:t>
            </w:r>
            <w:r>
              <w:rPr>
                <w:rFonts w:hint="eastAsia" w:cs="Times New Roman"/>
                <w:b/>
                <w:bCs/>
                <w:color w:val="auto"/>
                <w:sz w:val="21"/>
                <w:szCs w:val="21"/>
                <w:lang w:val="en-US" w:eastAsia="zh-CN"/>
              </w:rPr>
              <w:t>不可替代</w:t>
            </w:r>
            <w:r>
              <w:rPr>
                <w:rFonts w:hint="eastAsia" w:cs="Times New Roman"/>
                <w:b w:val="0"/>
                <w:bCs w:val="0"/>
                <w:color w:val="auto"/>
                <w:sz w:val="21"/>
                <w:szCs w:val="21"/>
                <w:lang w:val="en-US" w:eastAsia="zh-CN"/>
              </w:rPr>
              <w:t>的作用。因此，</w:t>
            </w:r>
            <w:r>
              <w:rPr>
                <w:rFonts w:hint="default" w:ascii="Times New Roman" w:hAnsi="Times New Roman" w:eastAsia="宋体" w:cs="Times New Roman"/>
                <w:b w:val="0"/>
                <w:bCs w:val="0"/>
                <w:color w:val="auto"/>
                <w:sz w:val="21"/>
                <w:szCs w:val="21"/>
                <w:lang w:eastAsia="zh-CN"/>
              </w:rPr>
              <w:t>泊沙康唑、伊曲康唑等</w:t>
            </w:r>
            <w:r>
              <w:rPr>
                <w:rFonts w:hint="default" w:ascii="Times New Roman" w:hAnsi="Times New Roman" w:eastAsia="宋体" w:cs="Times New Roman"/>
                <w:b w:val="0"/>
                <w:bCs w:val="0"/>
                <w:color w:val="auto"/>
                <w:sz w:val="21"/>
                <w:szCs w:val="21"/>
                <w:lang w:val="en-US" w:eastAsia="zh-CN"/>
              </w:rPr>
              <w:t>系列第二代</w:t>
            </w:r>
            <w:r>
              <w:rPr>
                <w:rFonts w:hint="default" w:ascii="Times New Roman" w:hAnsi="Times New Roman" w:eastAsia="宋体" w:cs="Times New Roman"/>
                <w:b w:val="0"/>
                <w:bCs w:val="0"/>
                <w:color w:val="auto"/>
                <w:sz w:val="21"/>
                <w:szCs w:val="21"/>
                <w:lang w:eastAsia="zh-CN"/>
              </w:rPr>
              <w:t>三唑类抗真菌药物</w:t>
            </w:r>
            <w:r>
              <w:rPr>
                <w:rFonts w:hint="eastAsia" w:cs="Times New Roman"/>
                <w:b w:val="0"/>
                <w:bCs w:val="0"/>
                <w:color w:val="auto"/>
                <w:sz w:val="21"/>
                <w:szCs w:val="21"/>
                <w:lang w:eastAsia="zh-CN"/>
              </w:rPr>
              <w:t>的</w:t>
            </w:r>
            <w:r>
              <w:rPr>
                <w:rFonts w:hint="eastAsia" w:ascii="Times New Roman" w:hAnsi="Times New Roman" w:eastAsia="宋体" w:cs="Times New Roman"/>
                <w:b w:val="0"/>
                <w:bCs w:val="0"/>
                <w:color w:val="auto"/>
                <w:kern w:val="0"/>
                <w:sz w:val="24"/>
                <w:szCs w:val="24"/>
                <w:lang w:val="en-US" w:eastAsia="zh-CN" w:bidi="ar-SA"/>
              </w:rPr>
              <w:t>市场需求很大，</w:t>
            </w:r>
            <w:r>
              <w:rPr>
                <w:rFonts w:hint="eastAsia" w:cs="Times New Roman"/>
                <w:b w:val="0"/>
                <w:bCs w:val="0"/>
                <w:color w:val="auto"/>
                <w:sz w:val="21"/>
                <w:szCs w:val="21"/>
                <w:lang w:eastAsia="zh-CN"/>
              </w:rPr>
              <w:t>有着非常</w:t>
            </w:r>
            <w:r>
              <w:rPr>
                <w:rFonts w:hint="eastAsia" w:cs="Times New Roman"/>
                <w:b w:val="0"/>
                <w:bCs w:val="0"/>
                <w:color w:val="auto"/>
                <w:sz w:val="21"/>
                <w:szCs w:val="21"/>
                <w:lang w:val="en-US" w:eastAsia="zh-CN"/>
              </w:rPr>
              <w:t>广泛的应用前景。</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val="0"/>
              <w:overflowPunct/>
              <w:topLinePunct w:val="0"/>
              <w:autoSpaceDE/>
              <w:autoSpaceDN/>
              <w:bidi w:val="0"/>
              <w:adjustRightInd/>
              <w:snapToGrid/>
              <w:spacing w:line="312" w:lineRule="auto"/>
              <w:ind w:firstLine="482" w:firstLineChars="200"/>
              <w:jc w:val="left"/>
              <w:textAlignment w:val="auto"/>
              <w:rPr>
                <w:rFonts w:hint="default" w:ascii="Times New Roman" w:hAnsi="Times New Roman" w:eastAsia="宋体" w:cs="Times New Roman"/>
                <w:b w:val="0"/>
                <w:bCs w:val="0"/>
                <w:color w:val="auto"/>
                <w:kern w:val="0"/>
                <w:sz w:val="21"/>
                <w:szCs w:val="21"/>
                <w:lang w:val="en-US" w:eastAsia="zh-CN" w:bidi="ar-SA"/>
              </w:rPr>
            </w:pPr>
            <w:r>
              <w:rPr>
                <w:rFonts w:hint="eastAsia" w:cs="Times New Roman"/>
                <w:b/>
                <w:bCs/>
                <w:color w:val="auto"/>
                <w:sz w:val="24"/>
                <w:szCs w:val="24"/>
                <w:lang w:val="en-US" w:eastAsia="zh-CN"/>
              </w:rPr>
              <w:t xml:space="preserve"> </w:t>
            </w:r>
            <w:r>
              <w:rPr>
                <w:rFonts w:hint="default" w:ascii="Times New Roman" w:hAnsi="Times New Roman" w:eastAsia="宋体" w:cs="Times New Roman"/>
                <w:b/>
                <w:bCs/>
                <w:color w:val="auto"/>
                <w:kern w:val="0"/>
                <w:sz w:val="24"/>
                <w:szCs w:val="24"/>
                <w:lang w:val="en-US" w:eastAsia="zh-CN" w:bidi="ar-SA"/>
              </w:rPr>
              <w:t>泊沙康唑</w:t>
            </w:r>
            <w:r>
              <w:rPr>
                <w:rFonts w:hint="eastAsia" w:cs="Times New Roman"/>
                <w:b/>
                <w:bCs/>
                <w:color w:val="auto"/>
                <w:kern w:val="0"/>
                <w:sz w:val="24"/>
                <w:szCs w:val="24"/>
                <w:lang w:val="en-US" w:eastAsia="zh-CN" w:bidi="ar-SA"/>
              </w:rPr>
              <w:t>：</w:t>
            </w:r>
            <w:r>
              <w:rPr>
                <w:rFonts w:hint="default" w:cs="Times New Roman"/>
                <w:b w:val="0"/>
                <w:bCs w:val="0"/>
                <w:color w:val="auto"/>
                <w:sz w:val="21"/>
                <w:szCs w:val="21"/>
                <w:lang w:val="en-US" w:eastAsia="zh-CN"/>
              </w:rPr>
              <w:t>有 4 个手性中心，</w:t>
            </w:r>
            <w:r>
              <w:rPr>
                <w:rFonts w:hint="eastAsia" w:cs="Times New Roman"/>
                <w:b w:val="0"/>
                <w:bCs w:val="0"/>
                <w:color w:val="auto"/>
                <w:sz w:val="21"/>
                <w:szCs w:val="21"/>
                <w:lang w:val="en-US" w:eastAsia="zh-CN"/>
              </w:rPr>
              <w:t>结构复杂，</w:t>
            </w:r>
            <w:r>
              <w:rPr>
                <w:rFonts w:hint="default" w:cs="Times New Roman"/>
                <w:b w:val="0"/>
                <w:bCs w:val="0"/>
                <w:color w:val="auto"/>
                <w:sz w:val="21"/>
                <w:szCs w:val="21"/>
                <w:lang w:val="en-US" w:eastAsia="zh-CN"/>
              </w:rPr>
              <w:t>合成难度较高，原料药价格昂贵，每公斤售价为</w:t>
            </w:r>
            <w:r>
              <w:rPr>
                <w:rFonts w:hint="default" w:ascii="Times New Roman" w:hAnsi="Times New Roman" w:eastAsia="宋体" w:cs="Times New Roman"/>
                <w:b/>
                <w:bCs/>
                <w:color w:val="auto"/>
                <w:kern w:val="0"/>
                <w:sz w:val="21"/>
                <w:szCs w:val="21"/>
                <w:lang w:val="en-US" w:eastAsia="zh-CN" w:bidi="ar-SA"/>
              </w:rPr>
              <w:t>8万元左右</w:t>
            </w:r>
            <w:r>
              <w:rPr>
                <w:rFonts w:hint="default" w:ascii="Times New Roman" w:hAnsi="Times New Roman" w:eastAsia="宋体" w:cs="Times New Roman"/>
                <w:b w:val="0"/>
                <w:bCs w:val="0"/>
                <w:color w:val="auto"/>
                <w:kern w:val="0"/>
                <w:sz w:val="21"/>
                <w:szCs w:val="21"/>
                <w:lang w:val="en-US" w:eastAsia="zh-CN" w:bidi="ar-SA"/>
              </w:rPr>
              <w:t xml:space="preserve">，本课题组研究了以价廉易得的 </w:t>
            </w:r>
            <w:r>
              <w:rPr>
                <w:rFonts w:hint="default" w:ascii="Times New Roman" w:hAnsi="Times New Roman" w:eastAsia="宋体" w:cs="Times New Roman"/>
                <w:b/>
                <w:bCs/>
                <w:color w:val="auto"/>
                <w:kern w:val="0"/>
                <w:sz w:val="21"/>
                <w:szCs w:val="21"/>
                <w:lang w:val="en-US" w:eastAsia="zh-CN" w:bidi="ar-SA"/>
              </w:rPr>
              <w:t>2</w:t>
            </w:r>
            <w:r>
              <w:rPr>
                <w:rFonts w:hint="default" w:ascii="Times New Roman" w:hAnsi="Times New Roman" w:eastAsia="宋体" w:cs="Times New Roman"/>
                <w:b w:val="0"/>
                <w:bCs w:val="0"/>
                <w:color w:val="auto"/>
                <w:kern w:val="0"/>
                <w:sz w:val="21"/>
                <w:szCs w:val="21"/>
                <w:lang w:val="en-US" w:eastAsia="zh-CN" w:bidi="ar-SA"/>
              </w:rPr>
              <w:t>，4-二氟苯乙酮为起始原料经格氏反应、脱水、溴化缩合、还原、异丁酰化加成、取代等反应经7步合成泊沙康唑的工艺。该工艺有如下优点：（1）采用该工艺制备泊沙康唑的总收率达30%以上；（2）按该工艺制备的泊沙康唑纯度大于99</w:t>
            </w:r>
            <w:r>
              <w:rPr>
                <w:rFonts w:hint="eastAsia" w:cs="Times New Roman"/>
                <w:b w:val="0"/>
                <w:bCs w:val="0"/>
                <w:color w:val="auto"/>
                <w:kern w:val="0"/>
                <w:sz w:val="21"/>
                <w:szCs w:val="21"/>
                <w:lang w:val="en-US" w:eastAsia="zh-CN" w:bidi="ar-SA"/>
              </w:rPr>
              <w:t>.0</w:t>
            </w:r>
            <w:r>
              <w:rPr>
                <w:rFonts w:hint="default" w:ascii="Times New Roman" w:hAnsi="Times New Roman" w:eastAsia="宋体" w:cs="Times New Roman"/>
                <w:b w:val="0"/>
                <w:bCs w:val="0"/>
                <w:color w:val="auto"/>
                <w:kern w:val="0"/>
                <w:sz w:val="21"/>
                <w:szCs w:val="21"/>
                <w:lang w:val="en-US" w:eastAsia="zh-CN" w:bidi="ar-SA"/>
              </w:rPr>
              <w:t>%，成品杂质总量低于1.0%；（3）产品品质完全符合或优于</w:t>
            </w:r>
            <w:r>
              <w:rPr>
                <w:rFonts w:hint="eastAsia" w:cs="Times New Roman"/>
                <w:b w:val="0"/>
                <w:bCs w:val="0"/>
                <w:color w:val="auto"/>
                <w:kern w:val="0"/>
                <w:sz w:val="21"/>
                <w:szCs w:val="21"/>
                <w:lang w:val="en-US" w:eastAsia="zh-CN" w:bidi="ar-SA"/>
              </w:rPr>
              <w:t>现行</w:t>
            </w:r>
            <w:r>
              <w:rPr>
                <w:rFonts w:hint="default" w:ascii="Times New Roman" w:hAnsi="Times New Roman" w:eastAsia="宋体" w:cs="Times New Roman"/>
                <w:b w:val="0"/>
                <w:bCs w:val="0"/>
                <w:color w:val="auto"/>
                <w:kern w:val="0"/>
                <w:sz w:val="21"/>
                <w:szCs w:val="21"/>
                <w:lang w:val="en-US" w:eastAsia="zh-CN" w:bidi="ar-SA"/>
              </w:rPr>
              <w:t>USP关于泊沙康唑的质量标准</w:t>
            </w:r>
            <w:r>
              <w:rPr>
                <w:rFonts w:hint="eastAsia" w:ascii="Times New Roman" w:hAnsi="Times New Roman" w:eastAsia="宋体" w:cs="Times New Roman"/>
                <w:b w:val="0"/>
                <w:bCs w:val="0"/>
                <w:color w:val="auto"/>
                <w:kern w:val="0"/>
                <w:sz w:val="21"/>
                <w:szCs w:val="21"/>
                <w:lang w:val="en-US" w:eastAsia="zh-CN" w:bidi="ar-SA"/>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val="0"/>
              <w:overflowPunct/>
              <w:topLinePunct w:val="0"/>
              <w:autoSpaceDE/>
              <w:autoSpaceDN/>
              <w:bidi w:val="0"/>
              <w:adjustRightInd/>
              <w:snapToGrid/>
              <w:spacing w:line="312" w:lineRule="auto"/>
              <w:ind w:firstLine="420" w:firstLineChars="200"/>
              <w:jc w:val="left"/>
              <w:textAlignment w:val="auto"/>
              <w:rPr>
                <w:rFonts w:hint="eastAsia"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kern w:val="0"/>
                <w:sz w:val="21"/>
                <w:szCs w:val="21"/>
                <w:lang w:val="en-US" w:eastAsia="zh-CN" w:bidi="ar-SA"/>
              </w:rPr>
              <w:t>该工艺的小试生产研究已经完成，可进行中试及工程化大批量生产。</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val="0"/>
              <w:overflowPunct/>
              <w:topLinePunct w:val="0"/>
              <w:autoSpaceDE/>
              <w:autoSpaceDN/>
              <w:bidi w:val="0"/>
              <w:adjustRightInd/>
              <w:snapToGrid/>
              <w:spacing w:line="312" w:lineRule="auto"/>
              <w:ind w:firstLine="422" w:firstLineChars="200"/>
              <w:jc w:val="left"/>
              <w:textAlignment w:val="auto"/>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bCs/>
                <w:color w:val="000000"/>
                <w:kern w:val="0"/>
                <w:sz w:val="21"/>
                <w:szCs w:val="21"/>
                <w:lang w:val="en-US" w:eastAsia="zh-CN" w:bidi="ar-SA"/>
              </w:rPr>
              <w:t>伊曲康唑</w:t>
            </w:r>
            <w:r>
              <w:rPr>
                <w:rFonts w:hint="eastAsia" w:ascii="Times New Roman" w:hAnsi="Times New Roman" w:eastAsia="宋体" w:cs="Times New Roman"/>
                <w:b/>
                <w:bCs/>
                <w:color w:val="000000"/>
                <w:kern w:val="0"/>
                <w:sz w:val="21"/>
                <w:szCs w:val="21"/>
                <w:lang w:val="en-US" w:eastAsia="zh-CN" w:bidi="ar-SA"/>
              </w:rPr>
              <w:t>、伏立康唑等</w:t>
            </w:r>
            <w:r>
              <w:rPr>
                <w:rFonts w:hint="eastAsia" w:ascii="Times New Roman" w:hAnsi="Times New Roman" w:eastAsia="宋体" w:cs="Times New Roman"/>
                <w:b w:val="0"/>
                <w:bCs w:val="0"/>
                <w:color w:val="auto"/>
                <w:kern w:val="0"/>
                <w:sz w:val="21"/>
                <w:szCs w:val="21"/>
                <w:lang w:val="en-US" w:eastAsia="zh-CN" w:bidi="ar-SA"/>
              </w:rPr>
              <w:t>系列第二代三唑类抗真菌药物也已有比较成熟的制备工艺。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ascii="微软雅黑" w:hAnsi="微软雅黑" w:eastAsia="微软雅黑" w:cs="宋体"/>
                <w:color w:val="auto"/>
                <w:kern w:val="0"/>
                <w:szCs w:val="21"/>
              </w:rPr>
            </w:pP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创新要点</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auto"/>
            <w:tcMar>
              <w:top w:w="120" w:type="dxa"/>
              <w:left w:w="120" w:type="dxa"/>
              <w:bottom w:w="120" w:type="dxa"/>
              <w:right w:w="120" w:type="dxa"/>
            </w:tcMa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hint="eastAsia" w:ascii="微软雅黑" w:hAnsi="微软雅黑" w:eastAsia="微软雅黑" w:cs="宋体"/>
                <w:b/>
                <w:bCs/>
                <w:color w:val="auto"/>
                <w:kern w:val="0"/>
                <w:szCs w:val="21"/>
                <w:lang w:eastAsia="zh-CN"/>
              </w:rPr>
            </w:pPr>
            <w:r>
              <w:rPr>
                <w:rFonts w:hint="eastAsia" w:ascii="微软雅黑" w:hAnsi="微软雅黑" w:eastAsia="微软雅黑" w:cs="宋体"/>
                <w:b/>
                <w:bCs/>
                <w:color w:val="auto"/>
                <w:kern w:val="0"/>
                <w:szCs w:val="21"/>
                <w:lang w:eastAsia="zh-CN"/>
              </w:rPr>
              <w:t>（1）一条技术领先优势明显的</w:t>
            </w:r>
            <w:r>
              <w:rPr>
                <w:rFonts w:hint="eastAsia" w:ascii="微软雅黑" w:hAnsi="微软雅黑" w:eastAsia="微软雅黑" w:cs="宋体"/>
                <w:b/>
                <w:bCs/>
                <w:color w:val="auto"/>
                <w:kern w:val="0"/>
                <w:szCs w:val="21"/>
                <w:lang w:val="en-US" w:eastAsia="zh-CN"/>
              </w:rPr>
              <w:t>合成泊沙康唑</w:t>
            </w:r>
            <w:r>
              <w:rPr>
                <w:rFonts w:hint="eastAsia" w:ascii="微软雅黑" w:hAnsi="微软雅黑" w:eastAsia="微软雅黑" w:cs="宋体"/>
                <w:b/>
                <w:bCs/>
                <w:color w:val="auto"/>
                <w:kern w:val="0"/>
                <w:szCs w:val="21"/>
                <w:lang w:eastAsia="zh-CN"/>
              </w:rPr>
              <w:t xml:space="preserve">的新工艺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eastAsia"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SA"/>
              </w:rPr>
              <w:t xml:space="preserve">以价廉易得的 </w:t>
            </w:r>
            <w:r>
              <w:rPr>
                <w:rFonts w:hint="default" w:ascii="Times New Roman" w:hAnsi="Times New Roman" w:eastAsia="宋体" w:cs="Times New Roman"/>
                <w:b/>
                <w:bCs/>
                <w:color w:val="auto"/>
                <w:kern w:val="0"/>
                <w:sz w:val="21"/>
                <w:szCs w:val="21"/>
                <w:lang w:val="en-US" w:eastAsia="zh-CN" w:bidi="ar-SA"/>
              </w:rPr>
              <w:t>2</w:t>
            </w:r>
            <w:r>
              <w:rPr>
                <w:rFonts w:hint="default" w:ascii="Times New Roman" w:hAnsi="Times New Roman" w:eastAsia="宋体" w:cs="Times New Roman"/>
                <w:b w:val="0"/>
                <w:bCs w:val="0"/>
                <w:color w:val="auto"/>
                <w:kern w:val="0"/>
                <w:sz w:val="21"/>
                <w:szCs w:val="21"/>
                <w:lang w:val="en-US" w:eastAsia="zh-CN" w:bidi="ar-SA"/>
              </w:rPr>
              <w:t>，4-二氟苯乙酮为起始原料经格氏反应、脱水、溴化缩合、还原、异丁酰化加成、取代等反应经7步合成泊沙康唑的工艺</w:t>
            </w:r>
            <w:r>
              <w:rPr>
                <w:rFonts w:hint="eastAsia" w:ascii="微软雅黑" w:hAnsi="微软雅黑" w:eastAsia="微软雅黑" w:cs="宋体"/>
                <w:color w:val="auto"/>
                <w:kern w:val="0"/>
                <w:szCs w:val="21"/>
                <w:lang w:eastAsia="zh-CN"/>
              </w:rPr>
              <w:t>，</w:t>
            </w:r>
            <w:r>
              <w:rPr>
                <w:rFonts w:hint="eastAsia" w:ascii="Times New Roman" w:hAnsi="Times New Roman" w:eastAsia="宋体" w:cs="Times New Roman"/>
                <w:b w:val="0"/>
                <w:bCs w:val="0"/>
                <w:color w:val="auto"/>
                <w:kern w:val="0"/>
                <w:sz w:val="21"/>
                <w:szCs w:val="21"/>
                <w:lang w:val="en-US" w:eastAsia="zh-CN" w:bidi="ar-SA"/>
              </w:rPr>
              <w:t>总收率能达30%以上。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hint="eastAsia" w:ascii="微软雅黑" w:hAnsi="微软雅黑" w:eastAsia="微软雅黑" w:cs="宋体"/>
                <w:b/>
                <w:bCs/>
                <w:color w:val="auto"/>
                <w:kern w:val="0"/>
                <w:szCs w:val="21"/>
                <w:lang w:eastAsia="zh-CN"/>
              </w:rPr>
            </w:pPr>
            <w:r>
              <w:rPr>
                <w:rFonts w:hint="eastAsia" w:ascii="微软雅黑" w:hAnsi="微软雅黑" w:eastAsia="微软雅黑" w:cs="宋体"/>
                <w:b/>
                <w:bCs/>
                <w:color w:val="auto"/>
                <w:kern w:val="0"/>
                <w:szCs w:val="21"/>
                <w:lang w:eastAsia="zh-CN"/>
              </w:rPr>
              <w:t xml:space="preserve">（2）成品中杂质含量的控制方法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hint="default" w:ascii="微软雅黑" w:hAnsi="微软雅黑" w:eastAsia="微软雅黑" w:cs="宋体"/>
                <w:color w:val="auto"/>
                <w:kern w:val="0"/>
                <w:szCs w:val="21"/>
                <w:lang w:val="en-US" w:eastAsia="zh-CN"/>
              </w:rPr>
            </w:pPr>
            <w:r>
              <w:rPr>
                <w:rFonts w:hint="default" w:ascii="Times New Roman" w:hAnsi="Times New Roman" w:eastAsia="宋体" w:cs="Times New Roman"/>
                <w:b w:val="0"/>
                <w:bCs w:val="0"/>
                <w:color w:val="auto"/>
                <w:kern w:val="0"/>
                <w:sz w:val="21"/>
                <w:szCs w:val="21"/>
                <w:lang w:val="en-US" w:eastAsia="zh-CN" w:bidi="ar-SA"/>
              </w:rPr>
              <w:t>按该工艺制备的泊沙康唑纯度大于99</w:t>
            </w:r>
            <w:r>
              <w:rPr>
                <w:rFonts w:hint="eastAsia" w:cs="Times New Roman"/>
                <w:b w:val="0"/>
                <w:bCs w:val="0"/>
                <w:color w:val="auto"/>
                <w:kern w:val="0"/>
                <w:sz w:val="21"/>
                <w:szCs w:val="21"/>
                <w:lang w:val="en-US" w:eastAsia="zh-CN" w:bidi="ar-SA"/>
              </w:rPr>
              <w:t>.0</w:t>
            </w:r>
            <w:r>
              <w:rPr>
                <w:rFonts w:hint="default" w:ascii="Times New Roman" w:hAnsi="Times New Roman" w:eastAsia="宋体" w:cs="Times New Roman"/>
                <w:b w:val="0"/>
                <w:bCs w:val="0"/>
                <w:color w:val="auto"/>
                <w:kern w:val="0"/>
                <w:sz w:val="21"/>
                <w:szCs w:val="21"/>
                <w:lang w:val="en-US" w:eastAsia="zh-CN" w:bidi="ar-SA"/>
              </w:rPr>
              <w:t>%，成品杂质总量低于1.0%</w:t>
            </w:r>
            <w:r>
              <w:rPr>
                <w:rFonts w:hint="eastAsia" w:ascii="Times New Roman" w:hAnsi="Times New Roman" w:eastAsia="宋体" w:cs="Times New Roman"/>
                <w:b w:val="0"/>
                <w:bCs w:val="0"/>
                <w:color w:val="auto"/>
                <w:kern w:val="0"/>
                <w:sz w:val="21"/>
                <w:szCs w:val="21"/>
                <w:lang w:val="en-US" w:eastAsia="zh-CN" w:bidi="ar-SA"/>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hint="default" w:ascii="微软雅黑" w:hAnsi="微软雅黑" w:eastAsia="微软雅黑" w:cs="宋体"/>
                <w:b/>
                <w:bCs/>
                <w:color w:val="auto"/>
                <w:kern w:val="0"/>
                <w:szCs w:val="21"/>
                <w:lang w:val="en-US" w:eastAsia="zh-CN"/>
              </w:rPr>
            </w:pPr>
            <w:r>
              <w:rPr>
                <w:rFonts w:hint="eastAsia" w:ascii="微软雅黑" w:hAnsi="微软雅黑" w:eastAsia="微软雅黑" w:cs="宋体"/>
                <w:b/>
                <w:bCs/>
                <w:color w:val="auto"/>
                <w:kern w:val="0"/>
                <w:szCs w:val="21"/>
                <w:lang w:eastAsia="zh-CN"/>
              </w:rPr>
              <w:t>（</w:t>
            </w:r>
            <w:r>
              <w:rPr>
                <w:rFonts w:hint="eastAsia" w:ascii="微软雅黑" w:hAnsi="微软雅黑" w:eastAsia="微软雅黑" w:cs="宋体"/>
                <w:b/>
                <w:bCs/>
                <w:color w:val="auto"/>
                <w:kern w:val="0"/>
                <w:szCs w:val="21"/>
                <w:lang w:val="en-US" w:eastAsia="zh-CN"/>
              </w:rPr>
              <w:t>3</w:t>
            </w:r>
            <w:r>
              <w:rPr>
                <w:rFonts w:hint="eastAsia" w:ascii="微软雅黑" w:hAnsi="微软雅黑" w:eastAsia="微软雅黑" w:cs="宋体"/>
                <w:b/>
                <w:bCs/>
                <w:color w:val="auto"/>
                <w:kern w:val="0"/>
                <w:szCs w:val="21"/>
                <w:lang w:eastAsia="zh-CN"/>
              </w:rPr>
              <w:t>）</w:t>
            </w:r>
            <w:r>
              <w:rPr>
                <w:rFonts w:hint="eastAsia" w:ascii="微软雅黑" w:hAnsi="微软雅黑" w:eastAsia="微软雅黑" w:cs="宋体"/>
                <w:b/>
                <w:bCs/>
                <w:color w:val="auto"/>
                <w:kern w:val="0"/>
                <w:szCs w:val="21"/>
                <w:lang w:val="en-US" w:eastAsia="zh-CN"/>
              </w:rPr>
              <w:t>创新</w:t>
            </w:r>
            <w:r>
              <w:rPr>
                <w:rFonts w:hint="eastAsia" w:ascii="微软雅黑" w:hAnsi="微软雅黑" w:eastAsia="微软雅黑" w:cs="宋体"/>
                <w:b/>
                <w:bCs/>
                <w:color w:val="auto"/>
                <w:kern w:val="0"/>
                <w:szCs w:val="21"/>
                <w:lang w:eastAsia="zh-CN"/>
              </w:rPr>
              <w:t>的</w:t>
            </w:r>
            <w:r>
              <w:rPr>
                <w:rFonts w:hint="eastAsia" w:ascii="微软雅黑" w:hAnsi="微软雅黑" w:eastAsia="微软雅黑" w:cs="宋体"/>
                <w:b/>
                <w:bCs/>
                <w:color w:val="auto"/>
                <w:kern w:val="0"/>
                <w:szCs w:val="21"/>
                <w:lang w:val="en-US" w:eastAsia="zh-CN"/>
              </w:rPr>
              <w:t>质量</w:t>
            </w:r>
            <w:r>
              <w:rPr>
                <w:rFonts w:hint="eastAsia" w:ascii="微软雅黑" w:hAnsi="微软雅黑" w:eastAsia="微软雅黑" w:cs="宋体"/>
                <w:b/>
                <w:bCs/>
                <w:color w:val="auto"/>
                <w:kern w:val="0"/>
                <w:szCs w:val="21"/>
                <w:lang w:eastAsia="zh-CN"/>
              </w:rPr>
              <w:t>控制</w:t>
            </w:r>
            <w:r>
              <w:rPr>
                <w:rFonts w:hint="eastAsia" w:ascii="微软雅黑" w:hAnsi="微软雅黑" w:eastAsia="微软雅黑" w:cs="宋体"/>
                <w:b/>
                <w:bCs/>
                <w:color w:val="auto"/>
                <w:kern w:val="0"/>
                <w:szCs w:val="21"/>
                <w:lang w:val="en-US" w:eastAsia="zh-CN"/>
              </w:rPr>
              <w:t>技术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eastAsia" w:ascii="微软雅黑" w:hAnsi="微软雅黑" w:eastAsia="微软雅黑" w:cs="宋体"/>
                <w:color w:val="auto"/>
                <w:kern w:val="0"/>
                <w:szCs w:val="21"/>
                <w:lang w:eastAsia="zh-CN"/>
              </w:rPr>
            </w:pPr>
            <w:r>
              <w:rPr>
                <w:rFonts w:hint="default" w:ascii="Times New Roman" w:hAnsi="Times New Roman" w:eastAsia="宋体" w:cs="Times New Roman"/>
                <w:b w:val="0"/>
                <w:bCs w:val="0"/>
                <w:color w:val="auto"/>
                <w:kern w:val="0"/>
                <w:sz w:val="21"/>
                <w:szCs w:val="21"/>
                <w:lang w:val="en-US" w:eastAsia="zh-CN" w:bidi="ar-SA"/>
              </w:rPr>
              <w:t>产品品质完全符合或优于</w:t>
            </w:r>
            <w:r>
              <w:rPr>
                <w:rFonts w:hint="eastAsia" w:cs="Times New Roman"/>
                <w:b w:val="0"/>
                <w:bCs w:val="0"/>
                <w:color w:val="auto"/>
                <w:kern w:val="0"/>
                <w:sz w:val="21"/>
                <w:szCs w:val="21"/>
                <w:lang w:val="en-US" w:eastAsia="zh-CN" w:bidi="ar-SA"/>
              </w:rPr>
              <w:t>现行</w:t>
            </w:r>
            <w:r>
              <w:rPr>
                <w:rFonts w:hint="default" w:ascii="Times New Roman" w:hAnsi="Times New Roman" w:eastAsia="宋体" w:cs="Times New Roman"/>
                <w:b w:val="0"/>
                <w:bCs w:val="0"/>
                <w:color w:val="auto"/>
                <w:kern w:val="0"/>
                <w:sz w:val="21"/>
                <w:szCs w:val="21"/>
                <w:lang w:val="en-US" w:eastAsia="zh-CN" w:bidi="ar-SA"/>
              </w:rPr>
              <w:t>USP关于泊沙康唑的质量标准</w:t>
            </w:r>
            <w:r>
              <w:rPr>
                <w:rFonts w:hint="eastAsia" w:ascii="微软雅黑" w:hAnsi="微软雅黑" w:eastAsia="微软雅黑" w:cs="宋体"/>
                <w:color w:val="auto"/>
                <w:kern w:val="0"/>
                <w:szCs w:val="21"/>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left"/>
              <w:rPr>
                <w:rFonts w:hint="eastAsia" w:ascii="微软雅黑" w:hAnsi="微软雅黑" w:eastAsia="微软雅黑" w:cs="宋体"/>
                <w:color w:val="auto"/>
                <w:kern w:val="0"/>
                <w:szCs w:val="21"/>
                <w:lang w:eastAsia="zh-CN"/>
              </w:rPr>
            </w:pPr>
            <w:r>
              <w:rPr>
                <w:rFonts w:hint="eastAsia" w:ascii="微软雅黑" w:hAnsi="微软雅黑" w:eastAsia="微软雅黑" w:cs="宋体"/>
                <w:b/>
                <w:bCs/>
                <w:color w:val="auto"/>
                <w:kern w:val="0"/>
                <w:szCs w:val="21"/>
                <w:lang w:eastAsia="zh-CN"/>
              </w:rPr>
              <w:t>（</w:t>
            </w:r>
            <w:r>
              <w:rPr>
                <w:rFonts w:hint="eastAsia" w:ascii="微软雅黑" w:hAnsi="微软雅黑" w:eastAsia="微软雅黑" w:cs="宋体"/>
                <w:b/>
                <w:bCs/>
                <w:color w:val="auto"/>
                <w:kern w:val="0"/>
                <w:szCs w:val="21"/>
                <w:lang w:val="en-US" w:eastAsia="zh-CN"/>
              </w:rPr>
              <w:t>4</w:t>
            </w:r>
            <w:r>
              <w:rPr>
                <w:rFonts w:hint="eastAsia" w:ascii="微软雅黑" w:hAnsi="微软雅黑" w:eastAsia="微软雅黑" w:cs="宋体"/>
                <w:b/>
                <w:bCs/>
                <w:color w:val="auto"/>
                <w:kern w:val="0"/>
                <w:szCs w:val="21"/>
                <w:lang w:eastAsia="zh-CN"/>
              </w:rPr>
              <w:t>）</w:t>
            </w:r>
            <w:r>
              <w:rPr>
                <w:rFonts w:hint="default" w:ascii="Times New Roman" w:hAnsi="Times New Roman" w:eastAsia="宋体" w:cs="Times New Roman"/>
                <w:b/>
                <w:bCs/>
                <w:color w:val="000000"/>
                <w:kern w:val="0"/>
                <w:sz w:val="21"/>
                <w:szCs w:val="21"/>
                <w:lang w:val="en-US" w:eastAsia="zh-CN" w:bidi="ar-SA"/>
              </w:rPr>
              <w:t>伊曲康唑</w:t>
            </w:r>
            <w:r>
              <w:rPr>
                <w:rFonts w:hint="eastAsia" w:ascii="Times New Roman" w:hAnsi="Times New Roman" w:eastAsia="宋体" w:cs="Times New Roman"/>
                <w:b/>
                <w:bCs/>
                <w:color w:val="000000"/>
                <w:kern w:val="0"/>
                <w:sz w:val="21"/>
                <w:szCs w:val="21"/>
                <w:lang w:val="en-US" w:eastAsia="zh-CN" w:bidi="ar-SA"/>
              </w:rPr>
              <w:t>、伏立康唑等</w:t>
            </w:r>
            <w:r>
              <w:rPr>
                <w:rFonts w:hint="eastAsia" w:ascii="Times New Roman" w:hAnsi="Times New Roman" w:eastAsia="宋体" w:cs="Times New Roman"/>
                <w:b w:val="0"/>
                <w:bCs w:val="0"/>
                <w:color w:val="auto"/>
                <w:kern w:val="0"/>
                <w:sz w:val="21"/>
                <w:szCs w:val="21"/>
                <w:lang w:val="en-US" w:eastAsia="zh-CN" w:bidi="ar-SA"/>
              </w:rPr>
              <w:t>系列第二代三唑类抗真菌药物也均有相应的创新制备工艺。</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技术指标</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auto"/>
            <w:tcMar>
              <w:top w:w="120" w:type="dxa"/>
              <w:left w:w="120" w:type="dxa"/>
              <w:bottom w:w="120" w:type="dxa"/>
              <w:right w:w="120" w:type="dxa"/>
            </w:tcMa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eastAsia="zh-CN"/>
              </w:rPr>
              <w:t>（1）采用该工艺制备</w:t>
            </w:r>
            <w:r>
              <w:rPr>
                <w:rFonts w:hint="eastAsia" w:ascii="微软雅黑" w:hAnsi="微软雅黑" w:eastAsia="微软雅黑" w:cs="宋体"/>
                <w:color w:val="auto"/>
                <w:kern w:val="0"/>
                <w:szCs w:val="21"/>
                <w:lang w:val="en-US" w:eastAsia="zh-CN"/>
              </w:rPr>
              <w:t>泊沙康唑</w:t>
            </w:r>
            <w:r>
              <w:rPr>
                <w:rFonts w:hint="eastAsia" w:ascii="微软雅黑" w:hAnsi="微软雅黑" w:eastAsia="微软雅黑" w:cs="宋体"/>
                <w:color w:val="auto"/>
                <w:kern w:val="0"/>
                <w:szCs w:val="21"/>
                <w:lang w:eastAsia="zh-CN"/>
              </w:rPr>
              <w:t>的总收率达</w:t>
            </w:r>
            <w:r>
              <w:rPr>
                <w:rFonts w:hint="eastAsia" w:ascii="微软雅黑" w:hAnsi="微软雅黑" w:eastAsia="微软雅黑" w:cs="宋体"/>
                <w:color w:val="auto"/>
                <w:kern w:val="0"/>
                <w:szCs w:val="21"/>
                <w:lang w:val="en-US" w:eastAsia="zh-CN"/>
              </w:rPr>
              <w:t>3</w:t>
            </w:r>
            <w:r>
              <w:rPr>
                <w:rFonts w:hint="eastAsia" w:ascii="微软雅黑" w:hAnsi="微软雅黑" w:eastAsia="微软雅黑" w:cs="宋体"/>
                <w:color w:val="auto"/>
                <w:kern w:val="0"/>
                <w:szCs w:val="21"/>
                <w:lang w:eastAsia="zh-CN"/>
              </w:rPr>
              <w:t>0%以上。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eastAsia="zh-CN"/>
              </w:rPr>
              <w:t>（2）按该工艺制备的</w:t>
            </w:r>
            <w:r>
              <w:rPr>
                <w:rFonts w:hint="eastAsia" w:ascii="微软雅黑" w:hAnsi="微软雅黑" w:eastAsia="微软雅黑" w:cs="宋体"/>
                <w:color w:val="auto"/>
                <w:kern w:val="0"/>
                <w:szCs w:val="21"/>
                <w:lang w:val="en-US" w:eastAsia="zh-CN"/>
              </w:rPr>
              <w:t>泊沙康唑</w:t>
            </w:r>
            <w:r>
              <w:rPr>
                <w:rFonts w:hint="eastAsia" w:ascii="微软雅黑" w:hAnsi="微软雅黑" w:eastAsia="微软雅黑" w:cs="宋体"/>
                <w:color w:val="auto"/>
                <w:kern w:val="0"/>
                <w:szCs w:val="21"/>
                <w:lang w:eastAsia="zh-CN"/>
              </w:rPr>
              <w:t>纯度大于99</w:t>
            </w:r>
            <w:r>
              <w:rPr>
                <w:rFonts w:hint="eastAsia" w:ascii="微软雅黑" w:hAnsi="微软雅黑" w:eastAsia="微软雅黑" w:cs="宋体"/>
                <w:color w:val="auto"/>
                <w:kern w:val="0"/>
                <w:szCs w:val="21"/>
                <w:lang w:val="en-US" w:eastAsia="zh-CN"/>
              </w:rPr>
              <w:t>.0</w:t>
            </w:r>
            <w:r>
              <w:rPr>
                <w:rFonts w:hint="eastAsia" w:ascii="微软雅黑" w:hAnsi="微软雅黑" w:eastAsia="微软雅黑" w:cs="宋体"/>
                <w:color w:val="auto"/>
                <w:kern w:val="0"/>
                <w:szCs w:val="21"/>
                <w:lang w:eastAsia="zh-CN"/>
              </w:rPr>
              <w:t>%，成品杂质总量低于1.0%。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eastAsia" w:ascii="微软雅黑" w:hAnsi="微软雅黑" w:eastAsia="微软雅黑" w:cs="宋体"/>
                <w:color w:val="auto"/>
                <w:kern w:val="0"/>
                <w:szCs w:val="21"/>
                <w:lang w:eastAsia="zh-CN"/>
              </w:rPr>
            </w:pPr>
            <w:r>
              <w:rPr>
                <w:rFonts w:hint="eastAsia" w:ascii="微软雅黑" w:hAnsi="微软雅黑" w:eastAsia="微软雅黑" w:cs="宋体"/>
                <w:color w:val="auto"/>
                <w:kern w:val="0"/>
                <w:szCs w:val="21"/>
                <w:lang w:eastAsia="zh-CN"/>
              </w:rPr>
              <w:t>（3）</w:t>
            </w:r>
            <w:r>
              <w:rPr>
                <w:rFonts w:hint="default" w:ascii="Times New Roman" w:hAnsi="Times New Roman" w:eastAsia="宋体" w:cs="Times New Roman"/>
                <w:b w:val="0"/>
                <w:bCs w:val="0"/>
                <w:color w:val="auto"/>
                <w:kern w:val="0"/>
                <w:sz w:val="21"/>
                <w:szCs w:val="21"/>
                <w:lang w:val="en-US" w:eastAsia="zh-CN" w:bidi="ar-SA"/>
              </w:rPr>
              <w:t>产品品质完全符合或优于</w:t>
            </w:r>
            <w:r>
              <w:rPr>
                <w:rFonts w:hint="eastAsia" w:cs="Times New Roman"/>
                <w:b w:val="0"/>
                <w:bCs w:val="0"/>
                <w:color w:val="auto"/>
                <w:kern w:val="0"/>
                <w:sz w:val="21"/>
                <w:szCs w:val="21"/>
                <w:lang w:val="en-US" w:eastAsia="zh-CN" w:bidi="ar-SA"/>
              </w:rPr>
              <w:t>现行</w:t>
            </w:r>
            <w:r>
              <w:rPr>
                <w:rFonts w:hint="default" w:ascii="Times New Roman" w:hAnsi="Times New Roman" w:eastAsia="宋体" w:cs="Times New Roman"/>
                <w:b w:val="0"/>
                <w:bCs w:val="0"/>
                <w:color w:val="auto"/>
                <w:kern w:val="0"/>
                <w:sz w:val="21"/>
                <w:szCs w:val="21"/>
                <w:lang w:val="en-US" w:eastAsia="zh-CN" w:bidi="ar-SA"/>
              </w:rPr>
              <w:t>USP关于泊沙康唑的质量标准</w:t>
            </w:r>
            <w:r>
              <w:rPr>
                <w:rFonts w:hint="eastAsia" w:ascii="微软雅黑" w:hAnsi="微软雅黑" w:eastAsia="微软雅黑" w:cs="宋体"/>
                <w:color w:val="auto"/>
                <w:kern w:val="0"/>
                <w:szCs w:val="21"/>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firstLine="420" w:firstLineChars="200"/>
              <w:jc w:val="left"/>
              <w:rPr>
                <w:rFonts w:hint="default"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lang w:eastAsia="zh-CN"/>
              </w:rPr>
              <w:t>（</w:t>
            </w:r>
            <w:r>
              <w:rPr>
                <w:rFonts w:hint="eastAsia" w:ascii="微软雅黑" w:hAnsi="微软雅黑" w:eastAsia="微软雅黑" w:cs="宋体"/>
                <w:color w:val="auto"/>
                <w:kern w:val="0"/>
                <w:szCs w:val="21"/>
                <w:lang w:val="en-US" w:eastAsia="zh-CN"/>
              </w:rPr>
              <w:t>4</w:t>
            </w:r>
            <w:r>
              <w:rPr>
                <w:rFonts w:hint="eastAsia" w:ascii="微软雅黑" w:hAnsi="微软雅黑" w:eastAsia="微软雅黑" w:cs="宋体"/>
                <w:color w:val="auto"/>
                <w:kern w:val="0"/>
                <w:szCs w:val="21"/>
                <w:lang w:eastAsia="zh-CN"/>
              </w:rPr>
              <w:t>）</w:t>
            </w:r>
            <w:r>
              <w:rPr>
                <w:rFonts w:hint="eastAsia" w:ascii="微软雅黑" w:hAnsi="微软雅黑" w:eastAsia="微软雅黑" w:cs="宋体"/>
                <w:color w:val="auto"/>
                <w:kern w:val="0"/>
                <w:szCs w:val="21"/>
                <w:lang w:val="en-US" w:eastAsia="zh-CN"/>
              </w:rPr>
              <w:t>上述第二代三唑类抗真菌药物的生产原料均为国产原料。</w:t>
            </w:r>
          </w:p>
        </w:tc>
      </w:tr>
      <w:tr>
        <w:tblPrEx>
          <w:shd w:val="clear" w:color="auto" w:fill="F5F6F7"/>
          <w:tblCellMar>
            <w:top w:w="15" w:type="dxa"/>
            <w:left w:w="15" w:type="dxa"/>
            <w:bottom w:w="15" w:type="dxa"/>
            <w:right w:w="15" w:type="dxa"/>
          </w:tblCellMar>
        </w:tblPrEx>
        <w:tc>
          <w:tcPr>
            <w:tcW w:w="0" w:type="auto"/>
            <w:tcBorders>
              <w:top w:val="single" w:color="DDDDDD" w:sz="6" w:space="0"/>
            </w:tcBorders>
            <w:shd w:val="clear" w:color="auto" w:fill="F5F6F7"/>
            <w:noWrap/>
            <w:tcMar>
              <w:top w:w="120" w:type="dxa"/>
              <w:left w:w="120" w:type="dxa"/>
              <w:bottom w:w="120" w:type="dxa"/>
              <w:right w:w="120" w:type="dxa"/>
            </w:tcMar>
          </w:tcPr>
          <w:p>
            <w:pPr>
              <w:widowControl/>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其他说明</w:t>
            </w:r>
          </w:p>
        </w:tc>
      </w:tr>
      <w:tr>
        <w:tblPrEx>
          <w:shd w:val="clear" w:color="auto" w:fill="F5F6F7"/>
          <w:tblCellMar>
            <w:top w:w="15" w:type="dxa"/>
            <w:left w:w="15" w:type="dxa"/>
            <w:bottom w:w="15" w:type="dxa"/>
            <w:right w:w="15" w:type="dxa"/>
          </w:tblCellMar>
        </w:tblPrEx>
        <w:trPr>
          <w:trHeight w:val="90" w:hRule="atLeast"/>
        </w:trPr>
        <w:tc>
          <w:tcPr>
            <w:tcW w:w="0" w:type="auto"/>
            <w:tcBorders>
              <w:top w:val="single" w:color="DDDDDD" w:sz="6" w:space="0"/>
            </w:tcBorders>
            <w:shd w:val="clear" w:color="auto" w:fill="auto"/>
            <w:tcMar>
              <w:top w:w="120" w:type="dxa"/>
              <w:left w:w="120" w:type="dxa"/>
              <w:bottom w:w="120" w:type="dxa"/>
              <w:right w:w="120" w:type="dxa"/>
            </w:tcMar>
          </w:tcPr>
          <w:p>
            <w:pPr>
              <w:widowControl/>
              <w:jc w:val="left"/>
              <w:rPr>
                <w:rFonts w:ascii="微软雅黑" w:hAnsi="微软雅黑" w:eastAsia="微软雅黑" w:cs="宋体"/>
                <w:color w:val="auto"/>
                <w:kern w:val="0"/>
                <w:szCs w:val="21"/>
              </w:rPr>
            </w:pPr>
          </w:p>
        </w:tc>
      </w:tr>
    </w:tbl>
    <w:p>
      <w:pPr>
        <w:widowControl/>
        <w:spacing w:before="240" w:after="240"/>
        <w:jc w:val="left"/>
        <w:rPr>
          <w:rFonts w:ascii="宋体" w:hAnsi="宋体" w:eastAsia="宋体" w:cs="宋体"/>
          <w:color w:val="auto"/>
          <w:kern w:val="0"/>
          <w:sz w:val="24"/>
          <w:szCs w:val="24"/>
        </w:rPr>
      </w:pPr>
      <w:r>
        <w:rPr>
          <w:rFonts w:ascii="宋体" w:hAnsi="宋体" w:eastAsia="宋体" w:cs="宋体"/>
          <w:color w:val="auto"/>
          <w:kern w:val="0"/>
          <w:sz w:val="24"/>
          <w:szCs w:val="24"/>
        </w:rPr>
        <w:pict>
          <v:rect id="_x0000_i1026" o:spt="1" style="height:0.75pt;width:0pt;" fillcolor="#273240" filled="t" stroked="f" coordsize="21600,21600" o:hr="t" o:hrstd="t" o:hrnoshade="t" o:hralign="center">
            <v:path/>
            <v:fill on="t" focussize="0,0"/>
            <v:stroke on="f"/>
            <v:imagedata o:title=""/>
            <o:lock v:ext="edit"/>
            <w10:wrap type="none"/>
            <w10:anchorlock/>
          </v:rect>
        </w:pict>
      </w:r>
    </w:p>
    <w:p>
      <w:pPr>
        <w:widowControl/>
        <w:shd w:val="clear" w:color="auto" w:fill="F5F6F7"/>
        <w:spacing w:before="150" w:after="150" w:line="480" w:lineRule="atLeast"/>
        <w:jc w:val="left"/>
        <w:outlineLvl w:val="3"/>
        <w:rPr>
          <w:rFonts w:ascii="微软雅黑" w:hAnsi="微软雅黑" w:eastAsia="微软雅黑" w:cs="宋体"/>
          <w:b/>
          <w:bCs/>
          <w:color w:val="auto"/>
          <w:kern w:val="0"/>
          <w:sz w:val="27"/>
          <w:szCs w:val="27"/>
        </w:rPr>
      </w:pPr>
      <w:r>
        <w:rPr>
          <w:rFonts w:hint="eastAsia" w:ascii="微软雅黑" w:hAnsi="微软雅黑" w:eastAsia="微软雅黑" w:cs="宋体"/>
          <w:b/>
          <w:bCs/>
          <w:color w:val="auto"/>
          <w:kern w:val="0"/>
          <w:sz w:val="27"/>
          <w:szCs w:val="27"/>
        </w:rPr>
        <w:t>完成人信息</w:t>
      </w:r>
    </w:p>
    <w:tbl>
      <w:tblPr>
        <w:tblStyle w:val="2"/>
        <w:tblW w:w="12660" w:type="dxa"/>
        <w:tblInd w:w="0" w:type="dxa"/>
        <w:shd w:val="clear" w:color="auto" w:fill="F5F6F7"/>
        <w:tblLayout w:type="autofit"/>
        <w:tblCellMar>
          <w:top w:w="15" w:type="dxa"/>
          <w:left w:w="15" w:type="dxa"/>
          <w:bottom w:w="15" w:type="dxa"/>
          <w:right w:w="15" w:type="dxa"/>
        </w:tblCellMar>
      </w:tblPr>
      <w:tblGrid>
        <w:gridCol w:w="1582"/>
        <w:gridCol w:w="3216"/>
        <w:gridCol w:w="3114"/>
        <w:gridCol w:w="4748"/>
      </w:tblGrid>
      <w:tr>
        <w:tblPrEx>
          <w:shd w:val="clear" w:color="auto" w:fill="F5F6F7"/>
          <w:tblCellMar>
            <w:top w:w="15" w:type="dxa"/>
            <w:left w:w="15" w:type="dxa"/>
            <w:bottom w:w="15" w:type="dxa"/>
            <w:right w:w="15" w:type="dxa"/>
          </w:tblCellMar>
        </w:tblPrEx>
        <w:tc>
          <w:tcPr>
            <w:tcW w:w="1582"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姓名</w:t>
            </w:r>
          </w:p>
        </w:tc>
        <w:tc>
          <w:tcPr>
            <w:tcW w:w="3216"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程青芳</w:t>
            </w:r>
          </w:p>
        </w:tc>
        <w:tc>
          <w:tcPr>
            <w:tcW w:w="3114"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所在部门</w:t>
            </w:r>
          </w:p>
        </w:tc>
        <w:tc>
          <w:tcPr>
            <w:tcW w:w="4748"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江苏海洋大学药学院</w:t>
            </w:r>
          </w:p>
        </w:tc>
      </w:tr>
      <w:tr>
        <w:tblPrEx>
          <w:tblCellMar>
            <w:top w:w="15" w:type="dxa"/>
            <w:left w:w="15" w:type="dxa"/>
            <w:bottom w:w="15" w:type="dxa"/>
            <w:right w:w="15" w:type="dxa"/>
          </w:tblCellMar>
        </w:tblPrEx>
        <w:trPr>
          <w:trHeight w:val="676" w:hRule="atLeast"/>
        </w:trPr>
        <w:tc>
          <w:tcPr>
            <w:tcW w:w="1582"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职务</w:t>
            </w:r>
          </w:p>
        </w:tc>
        <w:tc>
          <w:tcPr>
            <w:tcW w:w="3216"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p>
        </w:tc>
        <w:tc>
          <w:tcPr>
            <w:tcW w:w="3114"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职称</w:t>
            </w:r>
          </w:p>
        </w:tc>
        <w:tc>
          <w:tcPr>
            <w:tcW w:w="4748"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教授</w:t>
            </w:r>
          </w:p>
        </w:tc>
      </w:tr>
      <w:tr>
        <w:tblPrEx>
          <w:shd w:val="clear" w:color="auto" w:fill="F5F6F7"/>
          <w:tblCellMar>
            <w:top w:w="15" w:type="dxa"/>
            <w:left w:w="15" w:type="dxa"/>
            <w:bottom w:w="15" w:type="dxa"/>
            <w:right w:w="15" w:type="dxa"/>
          </w:tblCellMar>
        </w:tblPrEx>
        <w:trPr>
          <w:trHeight w:val="1728" w:hRule="atLeast"/>
        </w:trPr>
        <w:tc>
          <w:tcPr>
            <w:tcW w:w="1582"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手机</w:t>
            </w:r>
          </w:p>
        </w:tc>
        <w:tc>
          <w:tcPr>
            <w:tcW w:w="3216"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hint="default" w:ascii="微软雅黑" w:hAnsi="微软雅黑" w:eastAsia="微软雅黑" w:cs="宋体"/>
                <w:color w:val="auto"/>
                <w:kern w:val="0"/>
                <w:szCs w:val="21"/>
                <w:lang w:val="en-US" w:eastAsia="zh-CN"/>
              </w:rPr>
            </w:pPr>
            <w:r>
              <w:rPr>
                <w:rFonts w:hint="eastAsia" w:ascii="微软雅黑" w:hAnsi="微软雅黑" w:eastAsia="微软雅黑" w:cs="宋体"/>
                <w:color w:val="auto"/>
                <w:kern w:val="0"/>
                <w:szCs w:val="21"/>
                <w:lang w:val="en-US" w:eastAsia="zh-CN"/>
              </w:rPr>
              <w:t>18936659090</w:t>
            </w:r>
          </w:p>
        </w:tc>
        <w:tc>
          <w:tcPr>
            <w:tcW w:w="3114"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E-mail</w:t>
            </w:r>
          </w:p>
        </w:tc>
        <w:tc>
          <w:tcPr>
            <w:tcW w:w="4748"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spring817191@sina.</w:t>
            </w:r>
          </w:p>
          <w:p>
            <w:pPr>
              <w:widowControl/>
              <w:spacing w:after="3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com.cn</w:t>
            </w:r>
          </w:p>
        </w:tc>
      </w:tr>
      <w:tr>
        <w:tblPrEx>
          <w:shd w:val="clear" w:color="auto" w:fill="F5F6F7"/>
          <w:tblCellMar>
            <w:top w:w="15" w:type="dxa"/>
            <w:left w:w="15" w:type="dxa"/>
            <w:bottom w:w="15" w:type="dxa"/>
            <w:right w:w="15" w:type="dxa"/>
          </w:tblCellMar>
        </w:tblPrEx>
        <w:trPr>
          <w:trHeight w:val="834" w:hRule="atLeast"/>
        </w:trPr>
        <w:tc>
          <w:tcPr>
            <w:tcW w:w="1582"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电话</w:t>
            </w:r>
          </w:p>
        </w:tc>
        <w:tc>
          <w:tcPr>
            <w:tcW w:w="3216"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13605122015</w:t>
            </w:r>
          </w:p>
        </w:tc>
        <w:tc>
          <w:tcPr>
            <w:tcW w:w="3114"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传真</w:t>
            </w:r>
          </w:p>
        </w:tc>
        <w:tc>
          <w:tcPr>
            <w:tcW w:w="4748"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p>
        </w:tc>
      </w:tr>
      <w:tr>
        <w:tblPrEx>
          <w:tblCellMar>
            <w:top w:w="15" w:type="dxa"/>
            <w:left w:w="15" w:type="dxa"/>
            <w:bottom w:w="15" w:type="dxa"/>
            <w:right w:w="15" w:type="dxa"/>
          </w:tblCellMar>
        </w:tblPrEx>
        <w:trPr>
          <w:trHeight w:val="639" w:hRule="atLeast"/>
        </w:trPr>
        <w:tc>
          <w:tcPr>
            <w:tcW w:w="1582"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邮编</w:t>
            </w:r>
          </w:p>
        </w:tc>
        <w:tc>
          <w:tcPr>
            <w:tcW w:w="3216"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222005</w:t>
            </w:r>
          </w:p>
        </w:tc>
        <w:tc>
          <w:tcPr>
            <w:tcW w:w="3114"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通讯地址</w:t>
            </w:r>
          </w:p>
        </w:tc>
        <w:tc>
          <w:tcPr>
            <w:tcW w:w="4748"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连云港市苍梧路59号</w:t>
            </w:r>
          </w:p>
        </w:tc>
      </w:tr>
    </w:tbl>
    <w:p>
      <w:pPr>
        <w:widowControl/>
        <w:spacing w:before="240" w:after="240"/>
        <w:jc w:val="left"/>
        <w:rPr>
          <w:rFonts w:ascii="宋体" w:hAnsi="宋体" w:eastAsia="宋体" w:cs="宋体"/>
          <w:color w:val="auto"/>
          <w:kern w:val="0"/>
          <w:sz w:val="24"/>
          <w:szCs w:val="24"/>
        </w:rPr>
      </w:pPr>
      <w:r>
        <w:rPr>
          <w:rFonts w:ascii="宋体" w:hAnsi="宋体" w:eastAsia="宋体" w:cs="宋体"/>
          <w:color w:val="auto"/>
          <w:kern w:val="0"/>
          <w:sz w:val="24"/>
          <w:szCs w:val="24"/>
        </w:rPr>
        <w:pict>
          <v:rect id="_x0000_i1027" o:spt="1" style="height:0.75pt;width:0pt;" fillcolor="#273240" filled="t" stroked="f" coordsize="21600,21600" o:hr="t" o:hrstd="t" o:hrnoshade="t" o:hralign="center">
            <v:path/>
            <v:fill on="t" focussize="0,0"/>
            <v:stroke on="f"/>
            <v:imagedata o:title=""/>
            <o:lock v:ext="edit"/>
            <w10:wrap type="none"/>
            <w10:anchorlock/>
          </v:rect>
        </w:pict>
      </w:r>
    </w:p>
    <w:p>
      <w:pPr>
        <w:widowControl/>
        <w:shd w:val="clear" w:color="auto" w:fill="F5F6F7"/>
        <w:spacing w:before="150" w:after="150" w:line="480" w:lineRule="atLeast"/>
        <w:jc w:val="left"/>
        <w:outlineLvl w:val="3"/>
        <w:rPr>
          <w:rFonts w:ascii="微软雅黑" w:hAnsi="微软雅黑" w:eastAsia="微软雅黑" w:cs="宋体"/>
          <w:b/>
          <w:bCs/>
          <w:color w:val="auto"/>
          <w:kern w:val="0"/>
          <w:sz w:val="27"/>
          <w:szCs w:val="27"/>
        </w:rPr>
      </w:pPr>
      <w:r>
        <w:rPr>
          <w:rFonts w:hint="eastAsia" w:ascii="微软雅黑" w:hAnsi="微软雅黑" w:eastAsia="微软雅黑" w:cs="宋体"/>
          <w:b/>
          <w:bCs/>
          <w:color w:val="auto"/>
          <w:kern w:val="0"/>
          <w:sz w:val="27"/>
          <w:szCs w:val="27"/>
        </w:rPr>
        <w:t>联系人信息</w:t>
      </w:r>
    </w:p>
    <w:tbl>
      <w:tblPr>
        <w:tblStyle w:val="2"/>
        <w:tblW w:w="12660" w:type="dxa"/>
        <w:tblInd w:w="0" w:type="dxa"/>
        <w:shd w:val="clear" w:color="auto" w:fill="F5F6F7"/>
        <w:tblLayout w:type="autofit"/>
        <w:tblCellMar>
          <w:top w:w="15" w:type="dxa"/>
          <w:left w:w="15" w:type="dxa"/>
          <w:bottom w:w="15" w:type="dxa"/>
          <w:right w:w="15" w:type="dxa"/>
        </w:tblCellMar>
      </w:tblPr>
      <w:tblGrid>
        <w:gridCol w:w="1582"/>
        <w:gridCol w:w="4747"/>
        <w:gridCol w:w="1583"/>
        <w:gridCol w:w="4748"/>
      </w:tblGrid>
      <w:tr>
        <w:tblPrEx>
          <w:shd w:val="clear" w:color="auto" w:fill="F5F6F7"/>
          <w:tblCellMar>
            <w:top w:w="15" w:type="dxa"/>
            <w:left w:w="15" w:type="dxa"/>
            <w:bottom w:w="15" w:type="dxa"/>
            <w:right w:w="15" w:type="dxa"/>
          </w:tblCellMar>
        </w:tblPrEx>
        <w:trPr>
          <w:trHeight w:val="1623" w:hRule="atLeast"/>
        </w:trPr>
        <w:tc>
          <w:tcPr>
            <w:tcW w:w="1500"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姓名</w:t>
            </w:r>
          </w:p>
        </w:tc>
        <w:tc>
          <w:tcPr>
            <w:tcW w:w="4500"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王启发</w:t>
            </w:r>
          </w:p>
        </w:tc>
        <w:tc>
          <w:tcPr>
            <w:tcW w:w="1500" w:type="dxa"/>
            <w:tcBorders>
              <w:top w:val="single" w:color="DDDDDD" w:sz="6" w:space="0"/>
            </w:tcBorders>
            <w:shd w:val="clear" w:color="auto" w:fill="F5F6F7"/>
            <w:noWrap/>
            <w:tcMar>
              <w:top w:w="120" w:type="dxa"/>
              <w:left w:w="120" w:type="dxa"/>
              <w:bottom w:w="120" w:type="dxa"/>
              <w:right w:w="120" w:type="dxa"/>
            </w:tcMar>
          </w:tcPr>
          <w:p>
            <w:pPr>
              <w:widowControl/>
              <w:spacing w:after="300"/>
              <w:jc w:val="left"/>
              <w:rPr>
                <w:rFonts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所在部门</w:t>
            </w:r>
          </w:p>
        </w:tc>
        <w:tc>
          <w:tcPr>
            <w:tcW w:w="4500" w:type="dxa"/>
            <w:tcBorders>
              <w:top w:val="single" w:color="DDDDDD" w:sz="6" w:space="0"/>
            </w:tcBorders>
            <w:shd w:val="clear" w:color="auto" w:fill="auto"/>
            <w:tcMar>
              <w:top w:w="120" w:type="dxa"/>
              <w:left w:w="120" w:type="dxa"/>
              <w:bottom w:w="120" w:type="dxa"/>
              <w:right w:w="120" w:type="dxa"/>
            </w:tcMar>
          </w:tcPr>
          <w:p>
            <w:pPr>
              <w:widowControl/>
              <w:spacing w:after="3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江苏省海洋资源开发研</w:t>
            </w:r>
          </w:p>
          <w:p>
            <w:pPr>
              <w:widowControl/>
              <w:spacing w:after="30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究院（连云港）</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A2A3E"/>
    <w:rsid w:val="03BC2047"/>
    <w:rsid w:val="20BF3C13"/>
    <w:rsid w:val="29A64BAA"/>
    <w:rsid w:val="2EEB0B09"/>
    <w:rsid w:val="3C2446FC"/>
    <w:rsid w:val="3E2357FA"/>
    <w:rsid w:val="4BDD7D7D"/>
    <w:rsid w:val="4D954D7F"/>
    <w:rsid w:val="50CA2A3E"/>
    <w:rsid w:val="5F677FC4"/>
    <w:rsid w:val="67842CAC"/>
    <w:rsid w:val="67F91247"/>
    <w:rsid w:val="6B54437B"/>
    <w:rsid w:val="6D392924"/>
    <w:rsid w:val="735411B8"/>
    <w:rsid w:val="7A3D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2021-08-25T02:08:00Z</dcterms:created>
  <dc:creator>Administrator</dc:creator>
  <cp:lastModifiedBy>Administrator</cp:lastModifiedBy>
  <dcterms:modified xsi:type="dcterms:W3CDTF">2021-08-25T07:57:27Z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088B13D97E7D4F4AAD8E994AEA30AB88</vt:lpwstr>
  </property>
</Properties>
</file>