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3D" w:rsidRPr="001648B5" w:rsidRDefault="00D6343D" w:rsidP="00D6343D">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15</w:t>
      </w:r>
      <w:r w:rsidRPr="001648B5">
        <w:rPr>
          <w:rFonts w:eastAsiaTheme="minorEastAsia" w:hAnsiTheme="minor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39"/>
        <w:gridCol w:w="1590"/>
        <w:gridCol w:w="2802"/>
      </w:tblGrid>
      <w:tr w:rsidR="00D6343D" w:rsidRPr="001648B5" w:rsidTr="0028092A">
        <w:trPr>
          <w:trHeight w:hRule="exact" w:val="73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成果名称</w:t>
            </w:r>
          </w:p>
        </w:tc>
        <w:tc>
          <w:tcPr>
            <w:tcW w:w="7135" w:type="dxa"/>
            <w:gridSpan w:val="3"/>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bookmarkStart w:id="0" w:name="_GoBack"/>
            <w:r w:rsidRPr="001648B5">
              <w:rPr>
                <w:rFonts w:eastAsiaTheme="minorEastAsia" w:hAnsiTheme="minorEastAsia"/>
                <w:snapToGrid/>
                <w:sz w:val="24"/>
                <w:szCs w:val="24"/>
              </w:rPr>
              <w:t>钛白粉后处理工艺和机理研究</w:t>
            </w:r>
            <w:bookmarkEnd w:id="0"/>
          </w:p>
        </w:tc>
      </w:tr>
      <w:tr w:rsidR="00D6343D" w:rsidRPr="001648B5" w:rsidTr="0028092A">
        <w:trPr>
          <w:trHeight w:hRule="exact" w:val="73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完成单位</w:t>
            </w:r>
          </w:p>
        </w:tc>
        <w:tc>
          <w:tcPr>
            <w:tcW w:w="7135" w:type="dxa"/>
            <w:gridSpan w:val="3"/>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清华大学</w:t>
            </w:r>
          </w:p>
        </w:tc>
      </w:tr>
      <w:tr w:rsidR="00D6343D" w:rsidRPr="001648B5" w:rsidTr="0028092A">
        <w:trPr>
          <w:trHeight w:val="4680"/>
        </w:trPr>
        <w:tc>
          <w:tcPr>
            <w:tcW w:w="1800" w:type="dxa"/>
            <w:vMerge w:val="restart"/>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成果简介</w:t>
            </w:r>
          </w:p>
        </w:tc>
        <w:tc>
          <w:tcPr>
            <w:tcW w:w="7135" w:type="dxa"/>
            <w:gridSpan w:val="3"/>
            <w:shd w:val="clear" w:color="auto" w:fill="auto"/>
          </w:tcPr>
          <w:p w:rsidR="00D6343D" w:rsidRPr="001648B5" w:rsidRDefault="00D6343D" w:rsidP="0028092A">
            <w:pPr>
              <w:spacing w:line="400" w:lineRule="exact"/>
              <w:ind w:firstLine="0"/>
              <w:rPr>
                <w:rFonts w:eastAsiaTheme="minorEastAsia"/>
                <w:kern w:val="2"/>
                <w:sz w:val="24"/>
                <w:szCs w:val="24"/>
              </w:rPr>
            </w:pPr>
            <w:r w:rsidRPr="001648B5">
              <w:rPr>
                <w:rFonts w:eastAsiaTheme="minorEastAsia" w:hAnsiTheme="minorEastAsia"/>
                <w:kern w:val="2"/>
                <w:sz w:val="24"/>
                <w:szCs w:val="24"/>
              </w:rPr>
              <w:t>综合介绍：</w:t>
            </w:r>
          </w:p>
          <w:p w:rsidR="00D6343D" w:rsidRPr="001648B5" w:rsidRDefault="00D6343D" w:rsidP="0028092A">
            <w:pPr>
              <w:adjustRightInd w:val="0"/>
              <w:snapToGrid/>
              <w:spacing w:line="240" w:lineRule="auto"/>
              <w:ind w:firstLineChars="200" w:firstLine="480"/>
              <w:jc w:val="left"/>
              <w:rPr>
                <w:rFonts w:eastAsiaTheme="minorEastAsia"/>
                <w:snapToGrid/>
                <w:sz w:val="24"/>
                <w:szCs w:val="24"/>
              </w:rPr>
            </w:pPr>
            <w:r w:rsidRPr="001648B5">
              <w:rPr>
                <w:rFonts w:eastAsiaTheme="minorEastAsia" w:hAnsiTheme="minorEastAsia"/>
                <w:kern w:val="2"/>
                <w:sz w:val="24"/>
                <w:szCs w:val="24"/>
              </w:rPr>
              <w:t>该项目是清华大学与锦州氯化法钛白粉企业合作，项目内容是钛白粉后处理包膜工艺条件和机理研究。详细研究了</w:t>
            </w:r>
            <w:r w:rsidRPr="001648B5">
              <w:rPr>
                <w:rFonts w:eastAsiaTheme="minorEastAsia"/>
                <w:kern w:val="2"/>
                <w:sz w:val="24"/>
                <w:szCs w:val="24"/>
              </w:rPr>
              <w:t xml:space="preserve"> SiO2</w:t>
            </w:r>
            <w:r w:rsidRPr="001648B5">
              <w:rPr>
                <w:rFonts w:eastAsiaTheme="minorEastAsia" w:hAnsiTheme="minorEastAsia"/>
                <w:kern w:val="2"/>
                <w:sz w:val="24"/>
                <w:szCs w:val="24"/>
              </w:rPr>
              <w:t>、</w:t>
            </w:r>
            <w:r w:rsidRPr="001648B5">
              <w:rPr>
                <w:rFonts w:eastAsiaTheme="minorEastAsia"/>
                <w:kern w:val="2"/>
                <w:sz w:val="24"/>
                <w:szCs w:val="24"/>
              </w:rPr>
              <w:t>Al2O3</w:t>
            </w:r>
            <w:r w:rsidRPr="001648B5">
              <w:rPr>
                <w:rFonts w:eastAsiaTheme="minorEastAsia" w:hAnsiTheme="minorEastAsia"/>
                <w:kern w:val="2"/>
                <w:sz w:val="24"/>
                <w:szCs w:val="24"/>
              </w:rPr>
              <w:t>、</w:t>
            </w:r>
            <w:r w:rsidRPr="001648B5">
              <w:rPr>
                <w:rFonts w:eastAsiaTheme="minorEastAsia"/>
                <w:kern w:val="2"/>
                <w:sz w:val="24"/>
                <w:szCs w:val="24"/>
              </w:rPr>
              <w:t>ZrO2</w:t>
            </w:r>
            <w:r w:rsidRPr="001648B5">
              <w:rPr>
                <w:rFonts w:eastAsiaTheme="minorEastAsia" w:hAnsiTheme="minorEastAsia"/>
                <w:kern w:val="2"/>
                <w:sz w:val="24"/>
                <w:szCs w:val="24"/>
              </w:rPr>
              <w:t>、磷铝等无机包膜的机理，并获得最优化条件，包膜条件包括分散条件、包膜温度、包覆时间、包覆</w:t>
            </w:r>
            <w:r w:rsidRPr="001648B5">
              <w:rPr>
                <w:rFonts w:eastAsiaTheme="minorEastAsia"/>
                <w:kern w:val="2"/>
                <w:sz w:val="24"/>
                <w:szCs w:val="24"/>
              </w:rPr>
              <w:t xml:space="preserve"> pH</w:t>
            </w:r>
            <w:r w:rsidRPr="001648B5">
              <w:rPr>
                <w:rFonts w:eastAsiaTheme="minorEastAsia" w:hAnsiTheme="minorEastAsia"/>
                <w:kern w:val="2"/>
                <w:sz w:val="24"/>
                <w:szCs w:val="24"/>
              </w:rPr>
              <w:t>、搅拌强度、熟化时间等工艺条件。研究控制钛白粉包覆膜的致密度、厚度等不同质量的包覆膜，提高钛白粉在油漆、涂料（水性或油性）、塑料（色母粒）、造纸等领域中应用性能，提高分散性，遮盖力等应用指标。能够利用高分辨透射电镜等分析手段对钛白粉的包膜质量给出详细的分析和评价。发表了有关钛白粉包膜文章和钛白粉包膜专利多篇。</w:t>
            </w:r>
          </w:p>
        </w:tc>
      </w:tr>
      <w:tr w:rsidR="00D6343D" w:rsidRPr="001648B5" w:rsidTr="0028092A">
        <w:trPr>
          <w:trHeight w:val="3001"/>
        </w:trPr>
        <w:tc>
          <w:tcPr>
            <w:tcW w:w="1800" w:type="dxa"/>
            <w:vMerge/>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p>
        </w:tc>
        <w:tc>
          <w:tcPr>
            <w:tcW w:w="7135" w:type="dxa"/>
            <w:gridSpan w:val="3"/>
            <w:shd w:val="clear" w:color="auto" w:fill="auto"/>
          </w:tcPr>
          <w:p w:rsidR="00D6343D" w:rsidRPr="001648B5" w:rsidRDefault="00D6343D" w:rsidP="0028092A">
            <w:pPr>
              <w:spacing w:line="400" w:lineRule="exact"/>
              <w:ind w:firstLine="0"/>
              <w:rPr>
                <w:rFonts w:eastAsiaTheme="minorEastAsia"/>
                <w:kern w:val="2"/>
                <w:sz w:val="24"/>
                <w:szCs w:val="24"/>
              </w:rPr>
            </w:pPr>
            <w:r w:rsidRPr="001648B5">
              <w:rPr>
                <w:rFonts w:eastAsiaTheme="minorEastAsia" w:hAnsiTheme="minorEastAsia"/>
                <w:kern w:val="2"/>
                <w:sz w:val="24"/>
                <w:szCs w:val="24"/>
              </w:rPr>
              <w:t>技术指标：</w:t>
            </w:r>
          </w:p>
          <w:p w:rsidR="00D6343D" w:rsidRPr="001648B5" w:rsidRDefault="00D6343D" w:rsidP="0028092A">
            <w:pPr>
              <w:spacing w:line="400" w:lineRule="exact"/>
              <w:ind w:firstLineChars="200" w:firstLine="480"/>
              <w:rPr>
                <w:rFonts w:eastAsiaTheme="minorEastAsia"/>
                <w:sz w:val="24"/>
                <w:szCs w:val="24"/>
              </w:rPr>
            </w:pPr>
            <w:r w:rsidRPr="001648B5">
              <w:rPr>
                <w:rFonts w:eastAsiaTheme="minorEastAsia" w:hAnsiTheme="minorEastAsia"/>
                <w:kern w:val="2"/>
                <w:sz w:val="24"/>
                <w:szCs w:val="24"/>
              </w:rPr>
              <w:t>利用</w:t>
            </w:r>
            <w:r w:rsidRPr="001648B5">
              <w:rPr>
                <w:rFonts w:eastAsiaTheme="minorEastAsia"/>
                <w:kern w:val="2"/>
                <w:sz w:val="24"/>
                <w:szCs w:val="24"/>
              </w:rPr>
              <w:t xml:space="preserve"> TEM</w:t>
            </w:r>
            <w:r w:rsidRPr="001648B5">
              <w:rPr>
                <w:rFonts w:eastAsiaTheme="minorEastAsia" w:hAnsiTheme="minorEastAsia"/>
                <w:kern w:val="2"/>
                <w:sz w:val="24"/>
                <w:szCs w:val="24"/>
              </w:rPr>
              <w:t>，</w:t>
            </w:r>
            <w:r w:rsidRPr="001648B5">
              <w:rPr>
                <w:rFonts w:eastAsiaTheme="minorEastAsia"/>
                <w:kern w:val="2"/>
                <w:sz w:val="24"/>
                <w:szCs w:val="24"/>
              </w:rPr>
              <w:t>SEM</w:t>
            </w:r>
            <w:r w:rsidRPr="001648B5">
              <w:rPr>
                <w:rFonts w:eastAsiaTheme="minorEastAsia" w:hAnsiTheme="minorEastAsia"/>
                <w:kern w:val="2"/>
                <w:sz w:val="24"/>
                <w:szCs w:val="24"/>
              </w:rPr>
              <w:t>，</w:t>
            </w:r>
            <w:r w:rsidRPr="001648B5">
              <w:rPr>
                <w:rFonts w:eastAsiaTheme="minorEastAsia"/>
                <w:kern w:val="2"/>
                <w:sz w:val="24"/>
                <w:szCs w:val="24"/>
              </w:rPr>
              <w:t>XRD</w:t>
            </w:r>
            <w:r w:rsidRPr="001648B5">
              <w:rPr>
                <w:rFonts w:eastAsiaTheme="minorEastAsia" w:hAnsiTheme="minorEastAsia"/>
                <w:kern w:val="2"/>
                <w:sz w:val="24"/>
                <w:szCs w:val="24"/>
              </w:rPr>
              <w:t>，</w:t>
            </w:r>
            <w:r w:rsidRPr="001648B5">
              <w:rPr>
                <w:rFonts w:eastAsiaTheme="minorEastAsia"/>
                <w:kern w:val="2"/>
                <w:sz w:val="24"/>
                <w:szCs w:val="24"/>
              </w:rPr>
              <w:t>XRF</w:t>
            </w:r>
            <w:r w:rsidRPr="001648B5">
              <w:rPr>
                <w:rFonts w:eastAsiaTheme="minorEastAsia" w:hAnsiTheme="minorEastAsia"/>
                <w:kern w:val="2"/>
                <w:sz w:val="24"/>
                <w:szCs w:val="24"/>
              </w:rPr>
              <w:t>，</w:t>
            </w:r>
            <w:r w:rsidRPr="001648B5">
              <w:rPr>
                <w:rFonts w:eastAsiaTheme="minorEastAsia"/>
                <w:kern w:val="2"/>
                <w:sz w:val="24"/>
                <w:szCs w:val="24"/>
              </w:rPr>
              <w:t>IR</w:t>
            </w:r>
            <w:r w:rsidRPr="001648B5">
              <w:rPr>
                <w:rFonts w:eastAsiaTheme="minorEastAsia" w:hAnsiTheme="minorEastAsia"/>
                <w:kern w:val="2"/>
                <w:sz w:val="24"/>
                <w:szCs w:val="24"/>
              </w:rPr>
              <w:t>，</w:t>
            </w:r>
            <w:r w:rsidRPr="001648B5">
              <w:rPr>
                <w:rFonts w:eastAsiaTheme="minorEastAsia"/>
                <w:kern w:val="2"/>
                <w:sz w:val="24"/>
                <w:szCs w:val="24"/>
              </w:rPr>
              <w:t xml:space="preserve">BET </w:t>
            </w:r>
            <w:r w:rsidRPr="001648B5">
              <w:rPr>
                <w:rFonts w:eastAsiaTheme="minorEastAsia" w:hAnsiTheme="minorEastAsia"/>
                <w:kern w:val="2"/>
                <w:sz w:val="24"/>
                <w:szCs w:val="24"/>
              </w:rPr>
              <w:t>等现代分析手段研究钛白粉的结构和理论。采用物理、化学等检测方法，详细研究分析了美国杜邦公司</w:t>
            </w:r>
            <w:r w:rsidRPr="001648B5">
              <w:rPr>
                <w:rFonts w:eastAsiaTheme="minorEastAsia"/>
                <w:kern w:val="2"/>
                <w:sz w:val="24"/>
                <w:szCs w:val="24"/>
              </w:rPr>
              <w:t xml:space="preserve"> R902</w:t>
            </w:r>
            <w:r w:rsidRPr="001648B5">
              <w:rPr>
                <w:rFonts w:eastAsiaTheme="minorEastAsia" w:hAnsiTheme="minorEastAsia"/>
                <w:kern w:val="2"/>
                <w:sz w:val="24"/>
                <w:szCs w:val="24"/>
              </w:rPr>
              <w:t>、</w:t>
            </w:r>
            <w:r w:rsidRPr="001648B5">
              <w:rPr>
                <w:rFonts w:eastAsiaTheme="minorEastAsia"/>
                <w:kern w:val="2"/>
                <w:sz w:val="24"/>
                <w:szCs w:val="24"/>
              </w:rPr>
              <w:t>R706</w:t>
            </w:r>
            <w:r w:rsidRPr="001648B5">
              <w:rPr>
                <w:rFonts w:eastAsiaTheme="minorEastAsia" w:hAnsiTheme="minorEastAsia"/>
                <w:kern w:val="2"/>
                <w:sz w:val="24"/>
                <w:szCs w:val="24"/>
              </w:rPr>
              <w:t>、日本石原公司</w:t>
            </w:r>
            <w:r w:rsidRPr="001648B5">
              <w:rPr>
                <w:rFonts w:eastAsiaTheme="minorEastAsia"/>
                <w:kern w:val="2"/>
                <w:sz w:val="24"/>
                <w:szCs w:val="24"/>
              </w:rPr>
              <w:t xml:space="preserve"> R930</w:t>
            </w:r>
            <w:r w:rsidRPr="001648B5">
              <w:rPr>
                <w:rFonts w:eastAsiaTheme="minorEastAsia" w:hAnsiTheme="minorEastAsia"/>
                <w:kern w:val="2"/>
                <w:sz w:val="24"/>
                <w:szCs w:val="24"/>
              </w:rPr>
              <w:t>等产品的包膜工艺。包括：无机包膜顺序、可能的无机包膜剂、可能的</w:t>
            </w:r>
            <w:r w:rsidRPr="001648B5">
              <w:rPr>
                <w:rFonts w:eastAsiaTheme="minorEastAsia"/>
                <w:kern w:val="2"/>
                <w:sz w:val="24"/>
                <w:szCs w:val="24"/>
              </w:rPr>
              <w:t xml:space="preserve"> pH </w:t>
            </w:r>
            <w:r w:rsidRPr="001648B5">
              <w:rPr>
                <w:rFonts w:eastAsiaTheme="minorEastAsia" w:hAnsiTheme="minorEastAsia"/>
                <w:kern w:val="2"/>
                <w:sz w:val="24"/>
                <w:szCs w:val="24"/>
              </w:rPr>
              <w:t>调节剂、有机包膜剂等。</w:t>
            </w:r>
          </w:p>
        </w:tc>
      </w:tr>
      <w:tr w:rsidR="00D6343D" w:rsidRPr="001648B5" w:rsidTr="0028092A">
        <w:trPr>
          <w:trHeight w:val="56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成果成熟度</w:t>
            </w:r>
          </w:p>
        </w:tc>
        <w:tc>
          <w:tcPr>
            <w:tcW w:w="7135" w:type="dxa"/>
            <w:gridSpan w:val="3"/>
            <w:shd w:val="clear" w:color="auto" w:fill="auto"/>
            <w:vAlign w:val="center"/>
          </w:tcPr>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D6343D" w:rsidRPr="001648B5" w:rsidTr="0028092A">
        <w:trPr>
          <w:trHeight w:val="56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合作方式</w:t>
            </w:r>
          </w:p>
        </w:tc>
        <w:tc>
          <w:tcPr>
            <w:tcW w:w="7135" w:type="dxa"/>
            <w:gridSpan w:val="3"/>
            <w:shd w:val="clear" w:color="auto" w:fill="auto"/>
            <w:vAlign w:val="center"/>
          </w:tcPr>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D6343D" w:rsidRPr="001648B5" w:rsidTr="0028092A">
        <w:trPr>
          <w:trHeight w:val="56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成果完成人</w:t>
            </w:r>
          </w:p>
        </w:tc>
        <w:tc>
          <w:tcPr>
            <w:tcW w:w="252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p>
        </w:tc>
        <w:tc>
          <w:tcPr>
            <w:tcW w:w="1699"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联系电话</w:t>
            </w:r>
          </w:p>
        </w:tc>
        <w:tc>
          <w:tcPr>
            <w:tcW w:w="2916"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p>
        </w:tc>
      </w:tr>
      <w:tr w:rsidR="00D6343D" w:rsidRPr="001648B5" w:rsidTr="0028092A">
        <w:trPr>
          <w:trHeight w:val="56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联系人</w:t>
            </w:r>
          </w:p>
        </w:tc>
        <w:tc>
          <w:tcPr>
            <w:tcW w:w="2520" w:type="dxa"/>
            <w:shd w:val="clear" w:color="auto" w:fill="auto"/>
            <w:vAlign w:val="center"/>
          </w:tcPr>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李宁</w:t>
            </w:r>
          </w:p>
        </w:tc>
        <w:tc>
          <w:tcPr>
            <w:tcW w:w="1699" w:type="dxa"/>
            <w:shd w:val="clear" w:color="auto" w:fill="auto"/>
            <w:vAlign w:val="center"/>
          </w:tcPr>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916" w:type="dxa"/>
            <w:shd w:val="clear" w:color="auto" w:fill="auto"/>
            <w:vAlign w:val="center"/>
          </w:tcPr>
          <w:p w:rsidR="00D6343D" w:rsidRPr="001648B5" w:rsidRDefault="00D6343D" w:rsidP="0028092A">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010-62771822</w:t>
            </w:r>
          </w:p>
        </w:tc>
      </w:tr>
      <w:tr w:rsidR="00D6343D" w:rsidRPr="001648B5" w:rsidTr="0028092A">
        <w:trPr>
          <w:trHeight w:val="567"/>
        </w:trPr>
        <w:tc>
          <w:tcPr>
            <w:tcW w:w="180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电子邮箱</w:t>
            </w:r>
          </w:p>
        </w:tc>
        <w:tc>
          <w:tcPr>
            <w:tcW w:w="2520"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p>
        </w:tc>
        <w:tc>
          <w:tcPr>
            <w:tcW w:w="1699"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r w:rsidRPr="001648B5">
              <w:rPr>
                <w:rFonts w:eastAsiaTheme="minorEastAsia" w:hAnsiTheme="minorEastAsia"/>
                <w:sz w:val="24"/>
                <w:szCs w:val="24"/>
              </w:rPr>
              <w:t>手机号码</w:t>
            </w:r>
          </w:p>
        </w:tc>
        <w:tc>
          <w:tcPr>
            <w:tcW w:w="2916" w:type="dxa"/>
            <w:shd w:val="clear" w:color="auto" w:fill="auto"/>
            <w:vAlign w:val="center"/>
          </w:tcPr>
          <w:p w:rsidR="00D6343D" w:rsidRPr="001648B5" w:rsidRDefault="00D6343D" w:rsidP="0028092A">
            <w:pPr>
              <w:spacing w:line="400" w:lineRule="exact"/>
              <w:ind w:firstLine="0"/>
              <w:jc w:val="center"/>
              <w:rPr>
                <w:rFonts w:eastAsiaTheme="minorEastAsia"/>
                <w:sz w:val="24"/>
                <w:szCs w:val="24"/>
              </w:rPr>
            </w:pPr>
          </w:p>
        </w:tc>
      </w:tr>
    </w:tbl>
    <w:p w:rsidR="00762F5F" w:rsidRDefault="00762F5F" w:rsidP="00684B3C">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DB" w:rsidRDefault="00E142DB" w:rsidP="00D6343D">
      <w:pPr>
        <w:spacing w:line="240" w:lineRule="auto"/>
      </w:pPr>
      <w:r>
        <w:separator/>
      </w:r>
    </w:p>
  </w:endnote>
  <w:endnote w:type="continuationSeparator" w:id="0">
    <w:p w:rsidR="00E142DB" w:rsidRDefault="00E142DB" w:rsidP="00D63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DB" w:rsidRDefault="00E142DB" w:rsidP="00D6343D">
      <w:pPr>
        <w:spacing w:line="240" w:lineRule="auto"/>
      </w:pPr>
      <w:r>
        <w:separator/>
      </w:r>
    </w:p>
  </w:footnote>
  <w:footnote w:type="continuationSeparator" w:id="0">
    <w:p w:rsidR="00E142DB" w:rsidRDefault="00E142DB" w:rsidP="00D634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48"/>
    <w:rsid w:val="002C3BD6"/>
    <w:rsid w:val="003E63F6"/>
    <w:rsid w:val="00450C48"/>
    <w:rsid w:val="00684B3C"/>
    <w:rsid w:val="00762F5F"/>
    <w:rsid w:val="00D6343D"/>
    <w:rsid w:val="00E1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3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3D"/>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D6343D"/>
    <w:rPr>
      <w:sz w:val="18"/>
      <w:szCs w:val="18"/>
    </w:rPr>
  </w:style>
  <w:style w:type="paragraph" w:styleId="a4">
    <w:name w:val="footer"/>
    <w:basedOn w:val="a"/>
    <w:link w:val="Char0"/>
    <w:uiPriority w:val="99"/>
    <w:unhideWhenUsed/>
    <w:rsid w:val="00D6343D"/>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D6343D"/>
    <w:rPr>
      <w:sz w:val="18"/>
      <w:szCs w:val="18"/>
    </w:rPr>
  </w:style>
  <w:style w:type="paragraph" w:styleId="a5">
    <w:name w:val="Title"/>
    <w:basedOn w:val="a"/>
    <w:next w:val="a"/>
    <w:link w:val="Char1"/>
    <w:uiPriority w:val="10"/>
    <w:qFormat/>
    <w:rsid w:val="00D6343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D6343D"/>
    <w:rPr>
      <w:rFonts w:ascii="Cambria" w:eastAsia="宋体" w:hAnsi="Cambria" w:cs="Times New Roman"/>
      <w:b/>
      <w:bCs/>
      <w:sz w:val="32"/>
      <w:szCs w:val="32"/>
    </w:rPr>
  </w:style>
  <w:style w:type="paragraph" w:styleId="a6">
    <w:name w:val="Balloon Text"/>
    <w:basedOn w:val="a"/>
    <w:link w:val="Char2"/>
    <w:uiPriority w:val="99"/>
    <w:semiHidden/>
    <w:unhideWhenUsed/>
    <w:rsid w:val="00D6343D"/>
    <w:pPr>
      <w:spacing w:line="240" w:lineRule="auto"/>
    </w:pPr>
    <w:rPr>
      <w:sz w:val="18"/>
      <w:szCs w:val="18"/>
    </w:rPr>
  </w:style>
  <w:style w:type="character" w:customStyle="1" w:styleId="Char2">
    <w:name w:val="批注框文本 Char"/>
    <w:basedOn w:val="a0"/>
    <w:link w:val="a6"/>
    <w:uiPriority w:val="99"/>
    <w:semiHidden/>
    <w:rsid w:val="00D6343D"/>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3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3D"/>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D6343D"/>
    <w:rPr>
      <w:sz w:val="18"/>
      <w:szCs w:val="18"/>
    </w:rPr>
  </w:style>
  <w:style w:type="paragraph" w:styleId="a4">
    <w:name w:val="footer"/>
    <w:basedOn w:val="a"/>
    <w:link w:val="Char0"/>
    <w:uiPriority w:val="99"/>
    <w:unhideWhenUsed/>
    <w:rsid w:val="00D6343D"/>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D6343D"/>
    <w:rPr>
      <w:sz w:val="18"/>
      <w:szCs w:val="18"/>
    </w:rPr>
  </w:style>
  <w:style w:type="paragraph" w:styleId="a5">
    <w:name w:val="Title"/>
    <w:basedOn w:val="a"/>
    <w:next w:val="a"/>
    <w:link w:val="Char1"/>
    <w:uiPriority w:val="10"/>
    <w:qFormat/>
    <w:rsid w:val="00D6343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D6343D"/>
    <w:rPr>
      <w:rFonts w:ascii="Cambria" w:eastAsia="宋体" w:hAnsi="Cambria" w:cs="Times New Roman"/>
      <w:b/>
      <w:bCs/>
      <w:sz w:val="32"/>
      <w:szCs w:val="32"/>
    </w:rPr>
  </w:style>
  <w:style w:type="paragraph" w:styleId="a6">
    <w:name w:val="Balloon Text"/>
    <w:basedOn w:val="a"/>
    <w:link w:val="Char2"/>
    <w:uiPriority w:val="99"/>
    <w:semiHidden/>
    <w:unhideWhenUsed/>
    <w:rsid w:val="00D6343D"/>
    <w:pPr>
      <w:spacing w:line="240" w:lineRule="auto"/>
    </w:pPr>
    <w:rPr>
      <w:sz w:val="18"/>
      <w:szCs w:val="18"/>
    </w:rPr>
  </w:style>
  <w:style w:type="character" w:customStyle="1" w:styleId="Char2">
    <w:name w:val="批注框文本 Char"/>
    <w:basedOn w:val="a0"/>
    <w:link w:val="a6"/>
    <w:uiPriority w:val="99"/>
    <w:semiHidden/>
    <w:rsid w:val="00D6343D"/>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2019-01-20T09:17:00Z</dcterms:created>
  <dcterms:modified xsi:type="dcterms:W3CDTF">2019-01-20T09:24:00Z</dcterms:modified>
</cp:coreProperties>
</file>