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3D" w:rsidRPr="001648B5" w:rsidRDefault="00D6343D" w:rsidP="00D6343D">
      <w:pPr>
        <w:adjustRightInd w:val="0"/>
        <w:spacing w:line="240" w:lineRule="auto"/>
        <w:ind w:firstLine="0"/>
        <w:rPr>
          <w:rFonts w:eastAsiaTheme="minorEastAsia"/>
          <w:sz w:val="24"/>
          <w:szCs w:val="24"/>
        </w:rPr>
      </w:pPr>
      <w:r w:rsidRPr="001648B5">
        <w:rPr>
          <w:rFonts w:eastAsiaTheme="minorEastAsia" w:hAnsiTheme="minorEastAsia"/>
          <w:sz w:val="24"/>
          <w:szCs w:val="24"/>
        </w:rPr>
        <w:t>【编号</w:t>
      </w:r>
      <w:r>
        <w:rPr>
          <w:rFonts w:eastAsiaTheme="minorEastAsia"/>
          <w:sz w:val="24"/>
          <w:szCs w:val="24"/>
        </w:rPr>
        <w:t>S0</w:t>
      </w:r>
      <w:r>
        <w:rPr>
          <w:rFonts w:eastAsiaTheme="minorEastAsia" w:hint="eastAsia"/>
          <w:sz w:val="24"/>
          <w:szCs w:val="24"/>
        </w:rPr>
        <w:t>16</w:t>
      </w:r>
      <w:r w:rsidRPr="001648B5">
        <w:rPr>
          <w:rFonts w:eastAsiaTheme="minorEastAsia" w:hAnsiTheme="minor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339"/>
        <w:gridCol w:w="1590"/>
        <w:gridCol w:w="2802"/>
      </w:tblGrid>
      <w:tr w:rsidR="00D6343D" w:rsidRPr="001648B5" w:rsidTr="0028092A">
        <w:trPr>
          <w:trHeight w:hRule="exact" w:val="737"/>
        </w:trPr>
        <w:tc>
          <w:tcPr>
            <w:tcW w:w="1800"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成果名称</w:t>
            </w:r>
          </w:p>
        </w:tc>
        <w:tc>
          <w:tcPr>
            <w:tcW w:w="7135" w:type="dxa"/>
            <w:gridSpan w:val="3"/>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bookmarkStart w:id="0" w:name="_GoBack"/>
            <w:r w:rsidRPr="001648B5">
              <w:rPr>
                <w:rFonts w:eastAsiaTheme="minorEastAsia" w:hAnsiTheme="minorEastAsia"/>
                <w:snapToGrid/>
                <w:sz w:val="24"/>
                <w:szCs w:val="24"/>
              </w:rPr>
              <w:t>电子废物资源化利用的成套技术和工程示范</w:t>
            </w:r>
            <w:bookmarkEnd w:id="0"/>
          </w:p>
        </w:tc>
      </w:tr>
      <w:tr w:rsidR="00D6343D" w:rsidRPr="001648B5" w:rsidTr="0028092A">
        <w:trPr>
          <w:trHeight w:hRule="exact" w:val="737"/>
        </w:trPr>
        <w:tc>
          <w:tcPr>
            <w:tcW w:w="1800"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完成单位</w:t>
            </w:r>
          </w:p>
        </w:tc>
        <w:tc>
          <w:tcPr>
            <w:tcW w:w="7135" w:type="dxa"/>
            <w:gridSpan w:val="3"/>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清华大学</w:t>
            </w:r>
          </w:p>
        </w:tc>
      </w:tr>
      <w:tr w:rsidR="00D6343D" w:rsidRPr="001648B5" w:rsidTr="0028092A">
        <w:trPr>
          <w:trHeight w:val="7211"/>
        </w:trPr>
        <w:tc>
          <w:tcPr>
            <w:tcW w:w="1800" w:type="dxa"/>
            <w:vMerge w:val="restart"/>
            <w:shd w:val="clear" w:color="auto" w:fill="auto"/>
            <w:vAlign w:val="center"/>
          </w:tcPr>
          <w:p w:rsidR="00D6343D" w:rsidRPr="001648B5" w:rsidRDefault="00D6343D" w:rsidP="0028092A">
            <w:pPr>
              <w:spacing w:line="400" w:lineRule="exact"/>
              <w:ind w:firstLine="0"/>
              <w:jc w:val="center"/>
              <w:rPr>
                <w:rFonts w:eastAsiaTheme="minorEastAsia"/>
                <w:kern w:val="2"/>
                <w:sz w:val="24"/>
                <w:szCs w:val="24"/>
              </w:rPr>
            </w:pPr>
            <w:r w:rsidRPr="001648B5">
              <w:rPr>
                <w:rFonts w:eastAsiaTheme="minorEastAsia" w:hAnsiTheme="minorEastAsia"/>
                <w:kern w:val="2"/>
                <w:sz w:val="24"/>
                <w:szCs w:val="24"/>
              </w:rPr>
              <w:t>成果简介</w:t>
            </w:r>
          </w:p>
        </w:tc>
        <w:tc>
          <w:tcPr>
            <w:tcW w:w="7135" w:type="dxa"/>
            <w:gridSpan w:val="3"/>
            <w:shd w:val="clear" w:color="auto" w:fill="auto"/>
          </w:tcPr>
          <w:p w:rsidR="00D6343D" w:rsidRPr="001648B5" w:rsidRDefault="00D6343D" w:rsidP="0028092A">
            <w:pPr>
              <w:adjustRightInd w:val="0"/>
              <w:snapToGrid/>
              <w:spacing w:line="240" w:lineRule="auto"/>
              <w:ind w:firstLineChars="200" w:firstLine="480"/>
              <w:jc w:val="left"/>
              <w:rPr>
                <w:rFonts w:eastAsiaTheme="minorEastAsia"/>
                <w:kern w:val="2"/>
                <w:sz w:val="24"/>
                <w:szCs w:val="24"/>
              </w:rPr>
            </w:pPr>
            <w:r w:rsidRPr="001648B5">
              <w:rPr>
                <w:rFonts w:eastAsiaTheme="minorEastAsia" w:hAnsiTheme="minorEastAsia"/>
                <w:kern w:val="2"/>
                <w:sz w:val="24"/>
                <w:szCs w:val="24"/>
              </w:rPr>
              <w:t>本项目针对目前我国电子废物规模化的回收处理企业较少、技术储备以及设备设施能力不足，缺乏成套的深度资源化利用技术的现状，研发出一批具有自主知识产权的废计算机类电子废物破碎分选、分离提纯、产品高值利用的关键技术和成套设备。其中，在废计算机类设备的拆解处理、废显示器类资源化处理工艺、废电路板拆解处理和组合资源化工艺以及废电池组合资源化处理工艺等方面均具有突破性进展，并形成了技术和设备的集成；在电路板热冲击破碎预处理技术和破碎设备专用刀具、锥屏分离专用设备等方面的研究达到了较高水平。</w:t>
            </w:r>
          </w:p>
          <w:p w:rsidR="00D6343D" w:rsidRPr="001648B5" w:rsidRDefault="00D6343D" w:rsidP="0028092A">
            <w:pPr>
              <w:adjustRightInd w:val="0"/>
              <w:snapToGrid/>
              <w:spacing w:line="240" w:lineRule="auto"/>
              <w:ind w:firstLineChars="200" w:firstLine="480"/>
              <w:jc w:val="left"/>
              <w:rPr>
                <w:rFonts w:eastAsiaTheme="minorEastAsia"/>
                <w:kern w:val="2"/>
                <w:sz w:val="24"/>
                <w:szCs w:val="24"/>
              </w:rPr>
            </w:pPr>
            <w:r w:rsidRPr="001648B5">
              <w:rPr>
                <w:rFonts w:eastAsiaTheme="minorEastAsia" w:hAnsiTheme="minorEastAsia"/>
                <w:kern w:val="2"/>
                <w:sz w:val="24"/>
                <w:szCs w:val="24"/>
              </w:rPr>
              <w:t>其中依托专题研发了废计算机设备类自动化拆解生产线以及专用工具和设备研发，实现规模化和高效率流水线作业模式，材料回收率达到</w:t>
            </w:r>
            <w:r w:rsidRPr="001648B5">
              <w:rPr>
                <w:rFonts w:eastAsiaTheme="minorEastAsia"/>
                <w:kern w:val="2"/>
                <w:sz w:val="24"/>
                <w:szCs w:val="24"/>
              </w:rPr>
              <w:t xml:space="preserve"> 90%</w:t>
            </w:r>
            <w:r w:rsidRPr="001648B5">
              <w:rPr>
                <w:rFonts w:eastAsiaTheme="minorEastAsia" w:hAnsiTheme="minorEastAsia"/>
                <w:kern w:val="2"/>
                <w:sz w:val="24"/>
                <w:szCs w:val="24"/>
              </w:rPr>
              <w:t>以上，高于欧盟《电子废物回收处理指令》（</w:t>
            </w:r>
            <w:r w:rsidRPr="001648B5">
              <w:rPr>
                <w:rFonts w:eastAsiaTheme="minorEastAsia"/>
                <w:kern w:val="2"/>
                <w:sz w:val="24"/>
                <w:szCs w:val="24"/>
              </w:rPr>
              <w:t xml:space="preserve">2005 </w:t>
            </w:r>
            <w:r w:rsidRPr="001648B5">
              <w:rPr>
                <w:rFonts w:eastAsiaTheme="minorEastAsia" w:hAnsiTheme="minorEastAsia"/>
                <w:kern w:val="2"/>
                <w:sz w:val="24"/>
                <w:szCs w:val="24"/>
              </w:rPr>
              <w:t>年）要求的</w:t>
            </w:r>
            <w:r w:rsidRPr="001648B5">
              <w:rPr>
                <w:rFonts w:eastAsiaTheme="minorEastAsia"/>
                <w:kern w:val="2"/>
                <w:sz w:val="24"/>
                <w:szCs w:val="24"/>
              </w:rPr>
              <w:t xml:space="preserve"> 75~80%</w:t>
            </w:r>
            <w:r w:rsidRPr="001648B5">
              <w:rPr>
                <w:rFonts w:eastAsiaTheme="minorEastAsia" w:hAnsiTheme="minorEastAsia"/>
                <w:kern w:val="2"/>
                <w:sz w:val="24"/>
                <w:szCs w:val="24"/>
              </w:rPr>
              <w:t>；</w:t>
            </w:r>
            <w:r w:rsidRPr="001648B5">
              <w:rPr>
                <w:rFonts w:eastAsiaTheme="minorEastAsia"/>
                <w:kern w:val="2"/>
                <w:sz w:val="24"/>
                <w:szCs w:val="24"/>
              </w:rPr>
              <w:t xml:space="preserve">CRT </w:t>
            </w:r>
            <w:r w:rsidRPr="001648B5">
              <w:rPr>
                <w:rFonts w:eastAsiaTheme="minorEastAsia" w:hAnsiTheme="minorEastAsia"/>
                <w:kern w:val="2"/>
                <w:sz w:val="24"/>
                <w:szCs w:val="24"/>
              </w:rPr>
              <w:t>显示器锥屏干法快速分离设备分离效率达</w:t>
            </w:r>
            <w:r w:rsidRPr="001648B5">
              <w:rPr>
                <w:rFonts w:eastAsiaTheme="minorEastAsia"/>
                <w:kern w:val="2"/>
                <w:sz w:val="24"/>
                <w:szCs w:val="24"/>
              </w:rPr>
              <w:t xml:space="preserve"> 2 </w:t>
            </w:r>
            <w:r w:rsidRPr="001648B5">
              <w:rPr>
                <w:rFonts w:eastAsiaTheme="minorEastAsia" w:hAnsiTheme="minorEastAsia"/>
                <w:kern w:val="2"/>
                <w:sz w:val="24"/>
                <w:szCs w:val="24"/>
              </w:rPr>
              <w:t>分钟</w:t>
            </w:r>
            <w:r w:rsidRPr="001648B5">
              <w:rPr>
                <w:rFonts w:eastAsiaTheme="minorEastAsia"/>
                <w:kern w:val="2"/>
                <w:sz w:val="24"/>
                <w:szCs w:val="24"/>
              </w:rPr>
              <w:t>/</w:t>
            </w:r>
            <w:r w:rsidRPr="001648B5">
              <w:rPr>
                <w:rFonts w:eastAsiaTheme="minorEastAsia" w:hAnsiTheme="minorEastAsia"/>
                <w:kern w:val="2"/>
                <w:sz w:val="24"/>
                <w:szCs w:val="24"/>
              </w:rPr>
              <w:t>台，相比其他分离技术提高了</w:t>
            </w:r>
            <w:r w:rsidRPr="001648B5">
              <w:rPr>
                <w:rFonts w:eastAsiaTheme="minorEastAsia"/>
                <w:kern w:val="2"/>
                <w:sz w:val="24"/>
                <w:szCs w:val="24"/>
              </w:rPr>
              <w:t xml:space="preserve"> 2~3 </w:t>
            </w:r>
            <w:proofErr w:type="gramStart"/>
            <w:r w:rsidRPr="001648B5">
              <w:rPr>
                <w:rFonts w:eastAsiaTheme="minorEastAsia" w:hAnsiTheme="minorEastAsia"/>
                <w:kern w:val="2"/>
                <w:sz w:val="24"/>
                <w:szCs w:val="24"/>
              </w:rPr>
              <w:t>倍</w:t>
            </w:r>
            <w:proofErr w:type="gramEnd"/>
            <w:r w:rsidRPr="001648B5">
              <w:rPr>
                <w:rFonts w:eastAsiaTheme="minorEastAsia" w:hAnsiTheme="minorEastAsia"/>
                <w:kern w:val="2"/>
                <w:sz w:val="24"/>
                <w:szCs w:val="24"/>
              </w:rPr>
              <w:t>。其技术适应强，设备造价低，操作简单；</w:t>
            </w:r>
            <w:r w:rsidRPr="001648B5">
              <w:rPr>
                <w:rFonts w:eastAsiaTheme="minorEastAsia"/>
                <w:kern w:val="2"/>
                <w:sz w:val="24"/>
                <w:szCs w:val="24"/>
              </w:rPr>
              <w:t xml:space="preserve">LCD </w:t>
            </w:r>
            <w:r w:rsidRPr="001648B5">
              <w:rPr>
                <w:rFonts w:eastAsiaTheme="minorEastAsia" w:hAnsiTheme="minorEastAsia"/>
                <w:kern w:val="2"/>
                <w:sz w:val="24"/>
                <w:szCs w:val="24"/>
              </w:rPr>
              <w:t>显示器资源化处理技术和设备的研发，可实现汞灯管无损拆除、液晶的高效分离处理和</w:t>
            </w:r>
            <w:proofErr w:type="gramStart"/>
            <w:r w:rsidRPr="001648B5">
              <w:rPr>
                <w:rFonts w:eastAsiaTheme="minorEastAsia" w:hAnsiTheme="minorEastAsia"/>
                <w:kern w:val="2"/>
                <w:sz w:val="24"/>
                <w:szCs w:val="24"/>
              </w:rPr>
              <w:t>铟金属</w:t>
            </w:r>
            <w:proofErr w:type="gramEnd"/>
            <w:r w:rsidRPr="001648B5">
              <w:rPr>
                <w:rFonts w:eastAsiaTheme="minorEastAsia" w:hAnsiTheme="minorEastAsia"/>
                <w:kern w:val="2"/>
                <w:sz w:val="24"/>
                <w:szCs w:val="24"/>
              </w:rPr>
              <w:t>的回收；基于改性的废电路板预处理技术和设备，可显著提高解离度达</w:t>
            </w:r>
            <w:r w:rsidRPr="001648B5">
              <w:rPr>
                <w:rFonts w:eastAsiaTheme="minorEastAsia"/>
                <w:kern w:val="2"/>
                <w:sz w:val="24"/>
                <w:szCs w:val="24"/>
              </w:rPr>
              <w:t xml:space="preserve"> 100%</w:t>
            </w:r>
            <w:r w:rsidRPr="001648B5">
              <w:rPr>
                <w:rFonts w:eastAsiaTheme="minorEastAsia" w:hAnsiTheme="minorEastAsia"/>
                <w:kern w:val="2"/>
                <w:sz w:val="24"/>
                <w:szCs w:val="24"/>
              </w:rPr>
              <w:t>，实现铜金属回收率达到</w:t>
            </w:r>
            <w:r w:rsidRPr="001648B5">
              <w:rPr>
                <w:rFonts w:eastAsiaTheme="minorEastAsia"/>
                <w:kern w:val="2"/>
                <w:sz w:val="24"/>
                <w:szCs w:val="24"/>
              </w:rPr>
              <w:t xml:space="preserve"> 95%</w:t>
            </w:r>
            <w:r w:rsidRPr="001648B5">
              <w:rPr>
                <w:rFonts w:eastAsiaTheme="minorEastAsia" w:hAnsiTheme="minorEastAsia"/>
                <w:kern w:val="2"/>
                <w:sz w:val="24"/>
                <w:szCs w:val="24"/>
              </w:rPr>
              <w:t>以上。其可有效解决废弃计算机设备的资源化回收利用问题，对环境无害化处理进行了有益的探索。其中在废电路板、</w:t>
            </w:r>
            <w:r w:rsidRPr="001648B5">
              <w:rPr>
                <w:rFonts w:eastAsiaTheme="minorEastAsia"/>
                <w:kern w:val="2"/>
                <w:sz w:val="24"/>
                <w:szCs w:val="24"/>
              </w:rPr>
              <w:t xml:space="preserve">LCD </w:t>
            </w:r>
            <w:r w:rsidRPr="001648B5">
              <w:rPr>
                <w:rFonts w:eastAsiaTheme="minorEastAsia" w:hAnsiTheme="minorEastAsia"/>
                <w:kern w:val="2"/>
                <w:sz w:val="24"/>
                <w:szCs w:val="24"/>
              </w:rPr>
              <w:t>显示器、</w:t>
            </w:r>
            <w:r w:rsidRPr="001648B5">
              <w:rPr>
                <w:rFonts w:eastAsiaTheme="minorEastAsia"/>
                <w:kern w:val="2"/>
                <w:sz w:val="24"/>
                <w:szCs w:val="24"/>
              </w:rPr>
              <w:t xml:space="preserve">CRT </w:t>
            </w:r>
            <w:r w:rsidRPr="001648B5">
              <w:rPr>
                <w:rFonts w:eastAsiaTheme="minorEastAsia" w:hAnsiTheme="minorEastAsia"/>
                <w:kern w:val="2"/>
                <w:sz w:val="24"/>
                <w:szCs w:val="24"/>
              </w:rPr>
              <w:t>显示器和锂电池处理技术方面取得了创新性的成果，为建立我国电子废物处理技术体系提供了示范。</w:t>
            </w:r>
          </w:p>
        </w:tc>
      </w:tr>
      <w:tr w:rsidR="00D6343D" w:rsidRPr="001648B5" w:rsidTr="0028092A">
        <w:trPr>
          <w:trHeight w:val="1195"/>
        </w:trPr>
        <w:tc>
          <w:tcPr>
            <w:tcW w:w="1800" w:type="dxa"/>
            <w:vMerge/>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p>
        </w:tc>
        <w:tc>
          <w:tcPr>
            <w:tcW w:w="7135" w:type="dxa"/>
            <w:gridSpan w:val="3"/>
            <w:shd w:val="clear" w:color="auto" w:fill="auto"/>
          </w:tcPr>
          <w:p w:rsidR="00D6343D" w:rsidRPr="001648B5" w:rsidRDefault="00D6343D" w:rsidP="0028092A">
            <w:pPr>
              <w:spacing w:line="400" w:lineRule="exact"/>
              <w:ind w:firstLine="0"/>
              <w:rPr>
                <w:rFonts w:eastAsiaTheme="minorEastAsia"/>
                <w:kern w:val="2"/>
                <w:sz w:val="24"/>
                <w:szCs w:val="24"/>
              </w:rPr>
            </w:pPr>
            <w:r w:rsidRPr="001648B5">
              <w:rPr>
                <w:rFonts w:eastAsiaTheme="minorEastAsia" w:hAnsiTheme="minorEastAsia"/>
                <w:kern w:val="2"/>
                <w:sz w:val="24"/>
                <w:szCs w:val="24"/>
              </w:rPr>
              <w:t>技术指标：</w:t>
            </w:r>
          </w:p>
          <w:p w:rsidR="00D6343D" w:rsidRPr="001648B5" w:rsidRDefault="00D6343D" w:rsidP="0028092A">
            <w:pPr>
              <w:adjustRightInd w:val="0"/>
              <w:snapToGrid/>
              <w:spacing w:line="240" w:lineRule="auto"/>
              <w:ind w:firstLine="0"/>
              <w:jc w:val="left"/>
              <w:rPr>
                <w:rFonts w:eastAsiaTheme="minorEastAsia"/>
                <w:sz w:val="24"/>
                <w:szCs w:val="24"/>
              </w:rPr>
            </w:pPr>
            <w:r w:rsidRPr="001648B5">
              <w:rPr>
                <w:rFonts w:eastAsia="宋体"/>
                <w:kern w:val="2"/>
                <w:sz w:val="24"/>
                <w:szCs w:val="24"/>
              </w:rPr>
              <w:t></w:t>
            </w:r>
          </w:p>
        </w:tc>
      </w:tr>
      <w:tr w:rsidR="00D6343D" w:rsidRPr="001648B5" w:rsidTr="0028092A">
        <w:tc>
          <w:tcPr>
            <w:tcW w:w="1800"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成果成熟度</w:t>
            </w:r>
          </w:p>
        </w:tc>
        <w:tc>
          <w:tcPr>
            <w:tcW w:w="7135" w:type="dxa"/>
            <w:gridSpan w:val="3"/>
            <w:shd w:val="clear" w:color="auto" w:fill="auto"/>
            <w:vAlign w:val="center"/>
          </w:tcPr>
          <w:p w:rsidR="00D6343D" w:rsidRPr="001648B5" w:rsidRDefault="00D6343D" w:rsidP="0028092A">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研制阶段</w:t>
            </w:r>
            <w:r w:rsidRPr="001648B5">
              <w:rPr>
                <w:rFonts w:eastAsiaTheme="minorEastAsia"/>
                <w:kern w:val="2"/>
                <w:sz w:val="24"/>
                <w:szCs w:val="24"/>
              </w:rPr>
              <w:t xml:space="preserve"> ■</w:t>
            </w:r>
            <w:r w:rsidRPr="001648B5">
              <w:rPr>
                <w:rFonts w:eastAsiaTheme="minorEastAsia" w:hAnsiTheme="minorEastAsia"/>
                <w:kern w:val="2"/>
                <w:sz w:val="24"/>
                <w:szCs w:val="24"/>
              </w:rPr>
              <w:t>试生产</w:t>
            </w:r>
            <w:r w:rsidRPr="001648B5">
              <w:rPr>
                <w:rFonts w:eastAsiaTheme="minorEastAsia"/>
                <w:kern w:val="2"/>
                <w:sz w:val="24"/>
                <w:szCs w:val="24"/>
              </w:rPr>
              <w:t xml:space="preserve"> □</w:t>
            </w:r>
            <w:r w:rsidRPr="001648B5">
              <w:rPr>
                <w:rFonts w:eastAsiaTheme="minorEastAsia" w:hAnsiTheme="minorEastAsia"/>
                <w:kern w:val="2"/>
                <w:sz w:val="24"/>
                <w:szCs w:val="24"/>
              </w:rPr>
              <w:t>小批量生产</w:t>
            </w:r>
            <w:r w:rsidRPr="001648B5">
              <w:rPr>
                <w:rFonts w:eastAsiaTheme="minorEastAsia"/>
                <w:kern w:val="2"/>
                <w:sz w:val="24"/>
                <w:szCs w:val="24"/>
              </w:rPr>
              <w:t xml:space="preserve"> □</w:t>
            </w:r>
            <w:r w:rsidRPr="001648B5">
              <w:rPr>
                <w:rFonts w:eastAsiaTheme="minorEastAsia" w:hAnsiTheme="minorEastAsia"/>
                <w:kern w:val="2"/>
                <w:sz w:val="24"/>
                <w:szCs w:val="24"/>
              </w:rPr>
              <w:t>批量生产</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D6343D" w:rsidRPr="001648B5" w:rsidTr="0028092A">
        <w:tc>
          <w:tcPr>
            <w:tcW w:w="1800"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合作方式</w:t>
            </w:r>
          </w:p>
        </w:tc>
        <w:tc>
          <w:tcPr>
            <w:tcW w:w="7135" w:type="dxa"/>
            <w:gridSpan w:val="3"/>
            <w:shd w:val="clear" w:color="auto" w:fill="auto"/>
            <w:vAlign w:val="center"/>
          </w:tcPr>
          <w:p w:rsidR="00D6343D" w:rsidRPr="001648B5" w:rsidRDefault="00D6343D" w:rsidP="0028092A">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技术开发</w:t>
            </w:r>
            <w:r w:rsidRPr="001648B5">
              <w:rPr>
                <w:rFonts w:eastAsiaTheme="minorEastAsia"/>
                <w:kern w:val="2"/>
                <w:sz w:val="24"/>
                <w:szCs w:val="24"/>
              </w:rPr>
              <w:t xml:space="preserve"> □</w:t>
            </w:r>
            <w:r w:rsidRPr="001648B5">
              <w:rPr>
                <w:rFonts w:eastAsiaTheme="minorEastAsia" w:hAnsiTheme="minorEastAsia"/>
                <w:kern w:val="2"/>
                <w:sz w:val="24"/>
                <w:szCs w:val="24"/>
              </w:rPr>
              <w:t>技术入股</w:t>
            </w:r>
            <w:r w:rsidRPr="001648B5">
              <w:rPr>
                <w:rFonts w:eastAsiaTheme="minorEastAsia"/>
                <w:kern w:val="2"/>
                <w:sz w:val="24"/>
                <w:szCs w:val="24"/>
              </w:rPr>
              <w:t xml:space="preserve"> ■</w:t>
            </w:r>
            <w:r w:rsidRPr="001648B5">
              <w:rPr>
                <w:rFonts w:eastAsiaTheme="minorEastAsia" w:hAnsiTheme="minorEastAsia"/>
                <w:kern w:val="2"/>
                <w:sz w:val="24"/>
                <w:szCs w:val="24"/>
              </w:rPr>
              <w:t>技术转让</w:t>
            </w:r>
            <w:r w:rsidRPr="001648B5">
              <w:rPr>
                <w:rFonts w:eastAsiaTheme="minorEastAsia"/>
                <w:kern w:val="2"/>
                <w:sz w:val="24"/>
                <w:szCs w:val="24"/>
              </w:rPr>
              <w:t xml:space="preserve"> □</w:t>
            </w:r>
            <w:r w:rsidRPr="001648B5">
              <w:rPr>
                <w:rFonts w:eastAsiaTheme="minorEastAsia" w:hAnsiTheme="minorEastAsia"/>
                <w:kern w:val="2"/>
                <w:sz w:val="24"/>
                <w:szCs w:val="24"/>
              </w:rPr>
              <w:t>技术服务</w:t>
            </w:r>
            <w:r w:rsidRPr="001648B5">
              <w:rPr>
                <w:rFonts w:eastAsiaTheme="minorEastAsia"/>
                <w:kern w:val="2"/>
                <w:sz w:val="24"/>
                <w:szCs w:val="24"/>
              </w:rPr>
              <w:t xml:space="preserve"> □</w:t>
            </w:r>
            <w:r w:rsidRPr="001648B5">
              <w:rPr>
                <w:rFonts w:eastAsiaTheme="minorEastAsia" w:hAnsiTheme="minorEastAsia"/>
                <w:kern w:val="2"/>
                <w:sz w:val="24"/>
                <w:szCs w:val="24"/>
              </w:rPr>
              <w:t>技术咨询</w:t>
            </w:r>
          </w:p>
          <w:p w:rsidR="00D6343D" w:rsidRPr="001648B5" w:rsidRDefault="00D6343D" w:rsidP="0028092A">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人才培养</w:t>
            </w:r>
            <w:r w:rsidRPr="001648B5">
              <w:rPr>
                <w:rFonts w:eastAsiaTheme="minorEastAsia"/>
                <w:kern w:val="2"/>
                <w:sz w:val="24"/>
                <w:szCs w:val="24"/>
              </w:rPr>
              <w:t xml:space="preserve"> □</w:t>
            </w:r>
            <w:r w:rsidRPr="001648B5">
              <w:rPr>
                <w:rFonts w:eastAsiaTheme="minorEastAsia" w:hAnsiTheme="minorEastAsia"/>
                <w:kern w:val="2"/>
                <w:sz w:val="24"/>
                <w:szCs w:val="24"/>
              </w:rPr>
              <w:t>共建载体</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D6343D" w:rsidRPr="001648B5" w:rsidTr="0028092A">
        <w:tc>
          <w:tcPr>
            <w:tcW w:w="1800" w:type="dxa"/>
            <w:shd w:val="clear" w:color="auto" w:fill="auto"/>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成果完成人</w:t>
            </w:r>
          </w:p>
        </w:tc>
        <w:tc>
          <w:tcPr>
            <w:tcW w:w="2520" w:type="dxa"/>
            <w:shd w:val="clear" w:color="auto" w:fill="auto"/>
          </w:tcPr>
          <w:p w:rsidR="00D6343D" w:rsidRPr="001648B5" w:rsidRDefault="00D6343D" w:rsidP="0028092A">
            <w:pPr>
              <w:spacing w:line="400" w:lineRule="exact"/>
              <w:ind w:firstLine="0"/>
              <w:jc w:val="center"/>
              <w:rPr>
                <w:rFonts w:eastAsiaTheme="minorEastAsia"/>
                <w:sz w:val="24"/>
                <w:szCs w:val="24"/>
              </w:rPr>
            </w:pPr>
          </w:p>
        </w:tc>
        <w:tc>
          <w:tcPr>
            <w:tcW w:w="1699" w:type="dxa"/>
            <w:shd w:val="clear" w:color="auto" w:fill="auto"/>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联系电话</w:t>
            </w:r>
          </w:p>
        </w:tc>
        <w:tc>
          <w:tcPr>
            <w:tcW w:w="2916" w:type="dxa"/>
            <w:shd w:val="clear" w:color="auto" w:fill="auto"/>
            <w:vAlign w:val="center"/>
          </w:tcPr>
          <w:p w:rsidR="00D6343D" w:rsidRPr="001648B5" w:rsidRDefault="00D6343D" w:rsidP="0028092A">
            <w:pPr>
              <w:spacing w:line="400" w:lineRule="exact"/>
              <w:ind w:firstLine="0"/>
              <w:rPr>
                <w:rFonts w:eastAsiaTheme="minorEastAsia"/>
                <w:sz w:val="24"/>
                <w:szCs w:val="24"/>
              </w:rPr>
            </w:pPr>
          </w:p>
        </w:tc>
      </w:tr>
      <w:tr w:rsidR="00D6343D" w:rsidRPr="001648B5" w:rsidTr="0028092A">
        <w:tc>
          <w:tcPr>
            <w:tcW w:w="1800" w:type="dxa"/>
            <w:shd w:val="clear" w:color="auto" w:fill="auto"/>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联系人</w:t>
            </w:r>
          </w:p>
        </w:tc>
        <w:tc>
          <w:tcPr>
            <w:tcW w:w="2520" w:type="dxa"/>
            <w:shd w:val="clear" w:color="auto" w:fill="auto"/>
            <w:vAlign w:val="center"/>
          </w:tcPr>
          <w:p w:rsidR="00D6343D" w:rsidRPr="001648B5" w:rsidRDefault="00D6343D" w:rsidP="0028092A">
            <w:pPr>
              <w:adjustRightInd w:val="0"/>
              <w:spacing w:line="240" w:lineRule="auto"/>
              <w:rPr>
                <w:rFonts w:eastAsiaTheme="minorEastAsia"/>
                <w:kern w:val="2"/>
                <w:sz w:val="24"/>
                <w:szCs w:val="24"/>
              </w:rPr>
            </w:pPr>
            <w:r w:rsidRPr="001648B5">
              <w:rPr>
                <w:rFonts w:eastAsiaTheme="minorEastAsia" w:hAnsiTheme="minorEastAsia"/>
                <w:kern w:val="2"/>
                <w:sz w:val="24"/>
                <w:szCs w:val="24"/>
              </w:rPr>
              <w:t>李宁</w:t>
            </w:r>
          </w:p>
        </w:tc>
        <w:tc>
          <w:tcPr>
            <w:tcW w:w="1699" w:type="dxa"/>
            <w:shd w:val="clear" w:color="auto" w:fill="auto"/>
            <w:vAlign w:val="center"/>
          </w:tcPr>
          <w:p w:rsidR="00D6343D" w:rsidRPr="001648B5" w:rsidRDefault="00D6343D" w:rsidP="0028092A">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联系电话</w:t>
            </w:r>
          </w:p>
        </w:tc>
        <w:tc>
          <w:tcPr>
            <w:tcW w:w="2916" w:type="dxa"/>
            <w:shd w:val="clear" w:color="auto" w:fill="auto"/>
            <w:vAlign w:val="center"/>
          </w:tcPr>
          <w:p w:rsidR="00D6343D" w:rsidRPr="001648B5" w:rsidRDefault="00D6343D" w:rsidP="0028092A">
            <w:pPr>
              <w:adjustRightInd w:val="0"/>
              <w:spacing w:line="240" w:lineRule="auto"/>
              <w:rPr>
                <w:rFonts w:eastAsiaTheme="minorEastAsia"/>
                <w:kern w:val="2"/>
                <w:sz w:val="24"/>
                <w:szCs w:val="24"/>
              </w:rPr>
            </w:pPr>
            <w:r w:rsidRPr="001648B5">
              <w:rPr>
                <w:rFonts w:eastAsiaTheme="minorEastAsia"/>
                <w:kern w:val="2"/>
                <w:sz w:val="24"/>
                <w:szCs w:val="24"/>
              </w:rPr>
              <w:t>010-62771822</w:t>
            </w:r>
          </w:p>
        </w:tc>
      </w:tr>
      <w:tr w:rsidR="00D6343D" w:rsidRPr="001648B5" w:rsidTr="0028092A">
        <w:tc>
          <w:tcPr>
            <w:tcW w:w="1800" w:type="dxa"/>
            <w:shd w:val="clear" w:color="auto" w:fill="auto"/>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电子邮箱</w:t>
            </w:r>
          </w:p>
        </w:tc>
        <w:tc>
          <w:tcPr>
            <w:tcW w:w="2520" w:type="dxa"/>
            <w:shd w:val="clear" w:color="auto" w:fill="auto"/>
          </w:tcPr>
          <w:p w:rsidR="00D6343D" w:rsidRPr="001648B5" w:rsidRDefault="00D6343D" w:rsidP="0028092A">
            <w:pPr>
              <w:spacing w:line="400" w:lineRule="exact"/>
              <w:ind w:firstLine="0"/>
              <w:jc w:val="center"/>
              <w:rPr>
                <w:rFonts w:eastAsiaTheme="minorEastAsia"/>
                <w:sz w:val="24"/>
                <w:szCs w:val="24"/>
              </w:rPr>
            </w:pPr>
          </w:p>
        </w:tc>
        <w:tc>
          <w:tcPr>
            <w:tcW w:w="1699" w:type="dxa"/>
            <w:shd w:val="clear" w:color="auto" w:fill="auto"/>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手机号码</w:t>
            </w:r>
          </w:p>
        </w:tc>
        <w:tc>
          <w:tcPr>
            <w:tcW w:w="2916" w:type="dxa"/>
            <w:shd w:val="clear" w:color="auto" w:fill="auto"/>
          </w:tcPr>
          <w:p w:rsidR="00D6343D" w:rsidRPr="001648B5" w:rsidRDefault="00D6343D" w:rsidP="0028092A">
            <w:pPr>
              <w:spacing w:line="400" w:lineRule="exact"/>
              <w:ind w:firstLine="0"/>
              <w:rPr>
                <w:rFonts w:eastAsiaTheme="minorEastAsia"/>
                <w:sz w:val="24"/>
                <w:szCs w:val="24"/>
              </w:rPr>
            </w:pPr>
          </w:p>
        </w:tc>
      </w:tr>
    </w:tbl>
    <w:p w:rsidR="00762F5F" w:rsidRDefault="00762F5F" w:rsidP="00032405">
      <w:pPr>
        <w:adjustRightInd w:val="0"/>
        <w:spacing w:line="240" w:lineRule="auto"/>
        <w:ind w:firstLine="0"/>
      </w:pPr>
    </w:p>
    <w:sectPr w:rsidR="00762F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11" w:rsidRDefault="00903311" w:rsidP="00D6343D">
      <w:pPr>
        <w:spacing w:line="240" w:lineRule="auto"/>
      </w:pPr>
      <w:r>
        <w:separator/>
      </w:r>
    </w:p>
  </w:endnote>
  <w:endnote w:type="continuationSeparator" w:id="0">
    <w:p w:rsidR="00903311" w:rsidRDefault="00903311" w:rsidP="00D63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11" w:rsidRDefault="00903311" w:rsidP="00D6343D">
      <w:pPr>
        <w:spacing w:line="240" w:lineRule="auto"/>
      </w:pPr>
      <w:r>
        <w:separator/>
      </w:r>
    </w:p>
  </w:footnote>
  <w:footnote w:type="continuationSeparator" w:id="0">
    <w:p w:rsidR="00903311" w:rsidRDefault="00903311" w:rsidP="00D634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48"/>
    <w:rsid w:val="00032405"/>
    <w:rsid w:val="002C3BD6"/>
    <w:rsid w:val="003E63F6"/>
    <w:rsid w:val="00450C48"/>
    <w:rsid w:val="00762F5F"/>
    <w:rsid w:val="00903311"/>
    <w:rsid w:val="00D63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43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43D"/>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D6343D"/>
    <w:rPr>
      <w:sz w:val="18"/>
      <w:szCs w:val="18"/>
    </w:rPr>
  </w:style>
  <w:style w:type="paragraph" w:styleId="a4">
    <w:name w:val="footer"/>
    <w:basedOn w:val="a"/>
    <w:link w:val="Char0"/>
    <w:uiPriority w:val="99"/>
    <w:unhideWhenUsed/>
    <w:rsid w:val="00D6343D"/>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D6343D"/>
    <w:rPr>
      <w:sz w:val="18"/>
      <w:szCs w:val="18"/>
    </w:rPr>
  </w:style>
  <w:style w:type="paragraph" w:styleId="a5">
    <w:name w:val="Title"/>
    <w:basedOn w:val="a"/>
    <w:next w:val="a"/>
    <w:link w:val="Char1"/>
    <w:uiPriority w:val="10"/>
    <w:qFormat/>
    <w:rsid w:val="00D6343D"/>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1">
    <w:name w:val="标题 Char"/>
    <w:basedOn w:val="a0"/>
    <w:link w:val="a5"/>
    <w:uiPriority w:val="10"/>
    <w:rsid w:val="00D6343D"/>
    <w:rPr>
      <w:rFonts w:ascii="Cambria" w:eastAsia="宋体" w:hAnsi="Cambria" w:cs="Times New Roman"/>
      <w:b/>
      <w:bCs/>
      <w:sz w:val="32"/>
      <w:szCs w:val="32"/>
    </w:rPr>
  </w:style>
  <w:style w:type="paragraph" w:styleId="a6">
    <w:name w:val="Balloon Text"/>
    <w:basedOn w:val="a"/>
    <w:link w:val="Char2"/>
    <w:uiPriority w:val="99"/>
    <w:semiHidden/>
    <w:unhideWhenUsed/>
    <w:rsid w:val="00D6343D"/>
    <w:pPr>
      <w:spacing w:line="240" w:lineRule="auto"/>
    </w:pPr>
    <w:rPr>
      <w:sz w:val="18"/>
      <w:szCs w:val="18"/>
    </w:rPr>
  </w:style>
  <w:style w:type="character" w:customStyle="1" w:styleId="Char2">
    <w:name w:val="批注框文本 Char"/>
    <w:basedOn w:val="a0"/>
    <w:link w:val="a6"/>
    <w:uiPriority w:val="99"/>
    <w:semiHidden/>
    <w:rsid w:val="00D6343D"/>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43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43D"/>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D6343D"/>
    <w:rPr>
      <w:sz w:val="18"/>
      <w:szCs w:val="18"/>
    </w:rPr>
  </w:style>
  <w:style w:type="paragraph" w:styleId="a4">
    <w:name w:val="footer"/>
    <w:basedOn w:val="a"/>
    <w:link w:val="Char0"/>
    <w:uiPriority w:val="99"/>
    <w:unhideWhenUsed/>
    <w:rsid w:val="00D6343D"/>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D6343D"/>
    <w:rPr>
      <w:sz w:val="18"/>
      <w:szCs w:val="18"/>
    </w:rPr>
  </w:style>
  <w:style w:type="paragraph" w:styleId="a5">
    <w:name w:val="Title"/>
    <w:basedOn w:val="a"/>
    <w:next w:val="a"/>
    <w:link w:val="Char1"/>
    <w:uiPriority w:val="10"/>
    <w:qFormat/>
    <w:rsid w:val="00D6343D"/>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1">
    <w:name w:val="标题 Char"/>
    <w:basedOn w:val="a0"/>
    <w:link w:val="a5"/>
    <w:uiPriority w:val="10"/>
    <w:rsid w:val="00D6343D"/>
    <w:rPr>
      <w:rFonts w:ascii="Cambria" w:eastAsia="宋体" w:hAnsi="Cambria" w:cs="Times New Roman"/>
      <w:b/>
      <w:bCs/>
      <w:sz w:val="32"/>
      <w:szCs w:val="32"/>
    </w:rPr>
  </w:style>
  <w:style w:type="paragraph" w:styleId="a6">
    <w:name w:val="Balloon Text"/>
    <w:basedOn w:val="a"/>
    <w:link w:val="Char2"/>
    <w:uiPriority w:val="99"/>
    <w:semiHidden/>
    <w:unhideWhenUsed/>
    <w:rsid w:val="00D6343D"/>
    <w:pPr>
      <w:spacing w:line="240" w:lineRule="auto"/>
    </w:pPr>
    <w:rPr>
      <w:sz w:val="18"/>
      <w:szCs w:val="18"/>
    </w:rPr>
  </w:style>
  <w:style w:type="character" w:customStyle="1" w:styleId="Char2">
    <w:name w:val="批注框文本 Char"/>
    <w:basedOn w:val="a0"/>
    <w:link w:val="a6"/>
    <w:uiPriority w:val="99"/>
    <w:semiHidden/>
    <w:rsid w:val="00D6343D"/>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5</cp:revision>
  <dcterms:created xsi:type="dcterms:W3CDTF">2019-01-20T09:17:00Z</dcterms:created>
  <dcterms:modified xsi:type="dcterms:W3CDTF">2019-01-20T09:25:00Z</dcterms:modified>
</cp:coreProperties>
</file>