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0F" w:rsidRPr="001648B5" w:rsidRDefault="00A4050F" w:rsidP="00A4050F">
      <w:pPr>
        <w:adjustRightInd w:val="0"/>
        <w:spacing w:line="240" w:lineRule="auto"/>
        <w:ind w:firstLine="0"/>
        <w:rPr>
          <w:rFonts w:eastAsiaTheme="minorEastAsia"/>
          <w:sz w:val="24"/>
          <w:szCs w:val="24"/>
        </w:rPr>
      </w:pPr>
      <w:r w:rsidRPr="001648B5">
        <w:rPr>
          <w:rFonts w:eastAsiaTheme="minorEastAsia" w:hAnsiTheme="minorEastAsia"/>
          <w:sz w:val="24"/>
          <w:szCs w:val="24"/>
        </w:rPr>
        <w:t>【编号</w:t>
      </w:r>
      <w:r>
        <w:rPr>
          <w:rFonts w:eastAsiaTheme="minorEastAsia"/>
          <w:sz w:val="24"/>
          <w:szCs w:val="24"/>
        </w:rPr>
        <w:t>S0</w:t>
      </w:r>
      <w:r>
        <w:rPr>
          <w:rFonts w:eastAsiaTheme="minorEastAsia" w:hint="eastAsia"/>
          <w:sz w:val="24"/>
          <w:szCs w:val="24"/>
        </w:rPr>
        <w:t>7</w:t>
      </w:r>
      <w:r w:rsidRPr="001648B5">
        <w:rPr>
          <w:rFonts w:eastAsiaTheme="minorEastAsia"/>
          <w:sz w:val="24"/>
          <w:szCs w:val="24"/>
        </w:rPr>
        <w:t>2</w:t>
      </w:r>
      <w:r w:rsidRPr="001648B5">
        <w:rPr>
          <w:rFonts w:eastAsiaTheme="minorEastAsia" w:hAnsiTheme="minor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2773"/>
        <w:gridCol w:w="1430"/>
        <w:gridCol w:w="2701"/>
      </w:tblGrid>
      <w:tr w:rsidR="00A4050F" w:rsidRPr="001648B5" w:rsidTr="007E7A24">
        <w:trPr>
          <w:trHeight w:val="737"/>
        </w:trPr>
        <w:tc>
          <w:tcPr>
            <w:tcW w:w="1664"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成果名称</w:t>
            </w:r>
          </w:p>
        </w:tc>
        <w:tc>
          <w:tcPr>
            <w:tcW w:w="7288" w:type="dxa"/>
            <w:gridSpan w:val="3"/>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spacing w:line="400" w:lineRule="exact"/>
              <w:ind w:firstLine="0"/>
              <w:jc w:val="center"/>
              <w:rPr>
                <w:rFonts w:eastAsiaTheme="minorEastAsia"/>
                <w:sz w:val="24"/>
                <w:szCs w:val="24"/>
              </w:rPr>
            </w:pPr>
            <w:bookmarkStart w:id="0" w:name="_GoBack"/>
            <w:r w:rsidRPr="001648B5">
              <w:rPr>
                <w:rFonts w:eastAsiaTheme="minorEastAsia" w:hAnsiTheme="minorEastAsia"/>
                <w:sz w:val="24"/>
                <w:szCs w:val="24"/>
              </w:rPr>
              <w:t>宽带钢热连轧机</w:t>
            </w:r>
            <w:r w:rsidRPr="001648B5">
              <w:rPr>
                <w:rFonts w:eastAsiaTheme="minorEastAsia"/>
                <w:sz w:val="24"/>
                <w:szCs w:val="24"/>
              </w:rPr>
              <w:t xml:space="preserve">ASR </w:t>
            </w:r>
            <w:r w:rsidRPr="001648B5">
              <w:rPr>
                <w:rFonts w:eastAsiaTheme="minorEastAsia" w:hAnsiTheme="minorEastAsia"/>
                <w:sz w:val="24"/>
                <w:szCs w:val="24"/>
              </w:rPr>
              <w:t>机型与电工钢板</w:t>
            </w:r>
            <w:proofErr w:type="gramStart"/>
            <w:r w:rsidRPr="001648B5">
              <w:rPr>
                <w:rFonts w:eastAsiaTheme="minorEastAsia" w:hAnsiTheme="minorEastAsia"/>
                <w:sz w:val="24"/>
                <w:szCs w:val="24"/>
              </w:rPr>
              <w:t>形控制</w:t>
            </w:r>
            <w:proofErr w:type="gramEnd"/>
            <w:r w:rsidRPr="001648B5">
              <w:rPr>
                <w:rFonts w:eastAsiaTheme="minorEastAsia" w:hAnsiTheme="minorEastAsia"/>
                <w:sz w:val="24"/>
                <w:szCs w:val="24"/>
              </w:rPr>
              <w:t>核心技术</w:t>
            </w:r>
            <w:bookmarkEnd w:id="0"/>
          </w:p>
        </w:tc>
      </w:tr>
      <w:tr w:rsidR="00A4050F" w:rsidRPr="001648B5" w:rsidTr="007E7A24">
        <w:trPr>
          <w:trHeight w:val="737"/>
        </w:trPr>
        <w:tc>
          <w:tcPr>
            <w:tcW w:w="1664"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完成单位</w:t>
            </w:r>
          </w:p>
        </w:tc>
        <w:tc>
          <w:tcPr>
            <w:tcW w:w="7288" w:type="dxa"/>
            <w:gridSpan w:val="3"/>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spacing w:line="400" w:lineRule="exact"/>
              <w:ind w:firstLine="0"/>
              <w:jc w:val="center"/>
              <w:rPr>
                <w:rFonts w:eastAsiaTheme="minorEastAsia"/>
                <w:sz w:val="24"/>
                <w:szCs w:val="24"/>
              </w:rPr>
            </w:pPr>
            <w:r w:rsidRPr="001648B5">
              <w:rPr>
                <w:rFonts w:eastAsiaTheme="minorEastAsia" w:hAnsiTheme="minorEastAsia"/>
                <w:sz w:val="24"/>
                <w:szCs w:val="24"/>
              </w:rPr>
              <w:t>北京科技大学</w:t>
            </w:r>
          </w:p>
        </w:tc>
      </w:tr>
      <w:tr w:rsidR="00A4050F" w:rsidRPr="001648B5" w:rsidTr="007E7A24">
        <w:trPr>
          <w:trHeight w:val="4140"/>
        </w:trPr>
        <w:tc>
          <w:tcPr>
            <w:tcW w:w="1664" w:type="dxa"/>
            <w:vMerge w:val="restart"/>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成果简介</w:t>
            </w:r>
          </w:p>
        </w:tc>
        <w:tc>
          <w:tcPr>
            <w:tcW w:w="7288" w:type="dxa"/>
            <w:gridSpan w:val="3"/>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360" w:lineRule="exact"/>
              <w:ind w:firstLineChars="200" w:firstLine="480"/>
              <w:jc w:val="left"/>
              <w:rPr>
                <w:rFonts w:eastAsiaTheme="minorEastAsia"/>
                <w:kern w:val="2"/>
                <w:sz w:val="24"/>
                <w:szCs w:val="24"/>
              </w:rPr>
            </w:pPr>
            <w:r w:rsidRPr="001648B5">
              <w:rPr>
                <w:rFonts w:eastAsiaTheme="minorEastAsia" w:hAnsiTheme="minorEastAsia"/>
                <w:kern w:val="2"/>
                <w:sz w:val="24"/>
                <w:szCs w:val="24"/>
              </w:rPr>
              <w:t>综合介绍：电工钢（亦称硅钢片）作为一种高效节能、含碳量极低的硅铁软磁合金，是支撑国家机电、能源、国防、军工高技术发展战略需求的核心原材料，占全部磁性材料的</w:t>
            </w:r>
            <w:r w:rsidRPr="001648B5">
              <w:rPr>
                <w:rFonts w:eastAsiaTheme="minorEastAsia"/>
                <w:kern w:val="2"/>
                <w:sz w:val="24"/>
                <w:szCs w:val="24"/>
              </w:rPr>
              <w:t xml:space="preserve"> 95%</w:t>
            </w:r>
            <w:r w:rsidRPr="001648B5">
              <w:rPr>
                <w:rFonts w:eastAsiaTheme="minorEastAsia" w:hAnsiTheme="minorEastAsia"/>
                <w:kern w:val="2"/>
                <w:sz w:val="24"/>
                <w:szCs w:val="24"/>
              </w:rPr>
              <w:t>以上。电工钢因其制造难度大、影响因素多和工序过程控制要求严格而堪称钢铁工业的</w:t>
            </w:r>
            <w:r w:rsidRPr="001648B5">
              <w:rPr>
                <w:rFonts w:eastAsiaTheme="minorEastAsia"/>
                <w:kern w:val="2"/>
                <w:sz w:val="24"/>
                <w:szCs w:val="24"/>
              </w:rPr>
              <w:t>“</w:t>
            </w:r>
            <w:r w:rsidRPr="001648B5">
              <w:rPr>
                <w:rFonts w:eastAsiaTheme="minorEastAsia" w:hAnsiTheme="minorEastAsia"/>
                <w:kern w:val="2"/>
                <w:sz w:val="24"/>
                <w:szCs w:val="24"/>
              </w:rPr>
              <w:t>艺术品</w:t>
            </w:r>
            <w:r w:rsidRPr="001648B5">
              <w:rPr>
                <w:rFonts w:eastAsiaTheme="minorEastAsia"/>
                <w:kern w:val="2"/>
                <w:sz w:val="24"/>
                <w:szCs w:val="24"/>
              </w:rPr>
              <w:t>”</w:t>
            </w:r>
            <w:r w:rsidRPr="001648B5">
              <w:rPr>
                <w:rFonts w:eastAsiaTheme="minorEastAsia" w:hAnsiTheme="minorEastAsia"/>
                <w:kern w:val="2"/>
                <w:sz w:val="24"/>
                <w:szCs w:val="24"/>
              </w:rPr>
              <w:t>，其制造技术是衡量一个国家特殊钢生产和科技发展水平的重要标志之一，我国生产的电工钢已成功应用于神州飞船、北京正负电子对撞机、三峡工程、国防和航空航天等国家重点工程。</w:t>
            </w:r>
          </w:p>
        </w:tc>
      </w:tr>
      <w:tr w:rsidR="00A4050F" w:rsidRPr="001648B5" w:rsidTr="007E7A24">
        <w:trPr>
          <w:trHeight w:val="3515"/>
        </w:trPr>
        <w:tc>
          <w:tcPr>
            <w:tcW w:w="0" w:type="auto"/>
            <w:vMerge/>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widowControl/>
              <w:autoSpaceDE/>
              <w:autoSpaceDN/>
              <w:adjustRightInd w:val="0"/>
              <w:spacing w:line="240" w:lineRule="auto"/>
              <w:ind w:firstLine="0"/>
              <w:jc w:val="left"/>
              <w:rPr>
                <w:rFonts w:eastAsiaTheme="minorEastAsia"/>
                <w:kern w:val="2"/>
                <w:sz w:val="24"/>
                <w:szCs w:val="24"/>
              </w:rPr>
            </w:pPr>
          </w:p>
        </w:tc>
        <w:tc>
          <w:tcPr>
            <w:tcW w:w="7288" w:type="dxa"/>
            <w:gridSpan w:val="3"/>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技术指标：</w:t>
            </w:r>
            <w:r w:rsidRPr="001648B5">
              <w:rPr>
                <w:rFonts w:eastAsiaTheme="minorEastAsia"/>
                <w:sz w:val="24"/>
                <w:szCs w:val="24"/>
              </w:rPr>
              <w:t>“</w:t>
            </w:r>
            <w:r w:rsidRPr="001648B5">
              <w:rPr>
                <w:rFonts w:eastAsiaTheme="minorEastAsia" w:hAnsiTheme="minorEastAsia"/>
                <w:sz w:val="24"/>
                <w:szCs w:val="24"/>
              </w:rPr>
              <w:t>宽带钢热连轧机</w:t>
            </w:r>
            <w:r w:rsidRPr="001648B5">
              <w:rPr>
                <w:rFonts w:eastAsiaTheme="minorEastAsia"/>
                <w:sz w:val="24"/>
                <w:szCs w:val="24"/>
              </w:rPr>
              <w:t xml:space="preserve"> ASR </w:t>
            </w:r>
            <w:r w:rsidRPr="001648B5">
              <w:rPr>
                <w:rFonts w:eastAsiaTheme="minorEastAsia" w:hAnsiTheme="minorEastAsia"/>
                <w:sz w:val="24"/>
                <w:szCs w:val="24"/>
              </w:rPr>
              <w:t>机型与电工钢板形控制核心技术</w:t>
            </w:r>
            <w:r w:rsidRPr="001648B5">
              <w:rPr>
                <w:rFonts w:eastAsiaTheme="minorEastAsia"/>
                <w:sz w:val="24"/>
                <w:szCs w:val="24"/>
              </w:rPr>
              <w:t>”</w:t>
            </w:r>
            <w:r w:rsidRPr="001648B5">
              <w:rPr>
                <w:rFonts w:eastAsiaTheme="minorEastAsia" w:hAnsiTheme="minorEastAsia"/>
                <w:sz w:val="24"/>
                <w:szCs w:val="24"/>
              </w:rPr>
              <w:t>大规模稳定工业应用取得轧辊</w:t>
            </w:r>
            <w:proofErr w:type="gramStart"/>
            <w:r w:rsidRPr="001648B5">
              <w:rPr>
                <w:rFonts w:eastAsiaTheme="minorEastAsia" w:hAnsiTheme="minorEastAsia"/>
                <w:sz w:val="24"/>
                <w:szCs w:val="24"/>
              </w:rPr>
              <w:t>辊耗下降</w:t>
            </w:r>
            <w:proofErr w:type="gramEnd"/>
            <w:r w:rsidRPr="001648B5">
              <w:rPr>
                <w:rFonts w:eastAsiaTheme="minorEastAsia"/>
                <w:sz w:val="24"/>
                <w:szCs w:val="24"/>
              </w:rPr>
              <w:t xml:space="preserve"> 14%</w:t>
            </w:r>
            <w:r w:rsidRPr="001648B5">
              <w:rPr>
                <w:rFonts w:eastAsiaTheme="minorEastAsia" w:hAnsiTheme="minorEastAsia"/>
                <w:sz w:val="24"/>
                <w:szCs w:val="24"/>
              </w:rPr>
              <w:t>，板形平坦度精度稳定达到</w:t>
            </w:r>
            <w:r w:rsidRPr="001648B5">
              <w:rPr>
                <w:rFonts w:eastAsiaTheme="minorEastAsia"/>
                <w:sz w:val="24"/>
                <w:szCs w:val="24"/>
              </w:rPr>
              <w:t>93.12%</w:t>
            </w:r>
            <w:r w:rsidRPr="001648B5">
              <w:rPr>
                <w:rFonts w:eastAsiaTheme="minorEastAsia" w:hAnsiTheme="minorEastAsia"/>
                <w:sz w:val="24"/>
                <w:szCs w:val="24"/>
              </w:rPr>
              <w:t>，凸度合格率由</w:t>
            </w:r>
            <w:r w:rsidRPr="001648B5">
              <w:rPr>
                <w:rFonts w:eastAsiaTheme="minorEastAsia"/>
                <w:sz w:val="24"/>
                <w:szCs w:val="24"/>
              </w:rPr>
              <w:t>50%</w:t>
            </w:r>
            <w:r w:rsidRPr="001648B5">
              <w:rPr>
                <w:rFonts w:eastAsiaTheme="minorEastAsia" w:hAnsiTheme="minorEastAsia"/>
                <w:sz w:val="24"/>
                <w:szCs w:val="24"/>
              </w:rPr>
              <w:t>提高</w:t>
            </w:r>
            <w:r w:rsidRPr="001648B5">
              <w:rPr>
                <w:rFonts w:eastAsiaTheme="minorEastAsia"/>
                <w:sz w:val="24"/>
                <w:szCs w:val="24"/>
              </w:rPr>
              <w:t>92.7%</w:t>
            </w:r>
            <w:r w:rsidRPr="001648B5">
              <w:rPr>
                <w:rFonts w:eastAsiaTheme="minorEastAsia" w:hAnsiTheme="minorEastAsia"/>
                <w:sz w:val="24"/>
                <w:szCs w:val="24"/>
              </w:rPr>
              <w:t>、楔形合格率由</w:t>
            </w:r>
            <w:r w:rsidRPr="001648B5">
              <w:rPr>
                <w:rFonts w:eastAsiaTheme="minorEastAsia"/>
                <w:sz w:val="24"/>
                <w:szCs w:val="24"/>
              </w:rPr>
              <w:t>68.54%</w:t>
            </w:r>
            <w:r w:rsidRPr="001648B5">
              <w:rPr>
                <w:rFonts w:eastAsiaTheme="minorEastAsia" w:hAnsiTheme="minorEastAsia"/>
                <w:sz w:val="24"/>
                <w:szCs w:val="24"/>
              </w:rPr>
              <w:t>提高到</w:t>
            </w:r>
            <w:r w:rsidRPr="001648B5">
              <w:rPr>
                <w:rFonts w:eastAsiaTheme="minorEastAsia"/>
                <w:sz w:val="24"/>
                <w:szCs w:val="24"/>
              </w:rPr>
              <w:t>95.48%</w:t>
            </w:r>
            <w:r w:rsidRPr="001648B5">
              <w:rPr>
                <w:rFonts w:eastAsiaTheme="minorEastAsia" w:hAnsiTheme="minorEastAsia"/>
                <w:sz w:val="24"/>
                <w:szCs w:val="24"/>
              </w:rPr>
              <w:t>的显著生产实绩，控制效果优于大型板材热连轧机广泛使用的</w:t>
            </w:r>
            <w:r w:rsidRPr="001648B5">
              <w:rPr>
                <w:rFonts w:eastAsiaTheme="minorEastAsia"/>
                <w:sz w:val="24"/>
                <w:szCs w:val="24"/>
              </w:rPr>
              <w:t>“</w:t>
            </w:r>
            <w:r w:rsidRPr="001648B5">
              <w:rPr>
                <w:rFonts w:eastAsiaTheme="minorEastAsia" w:hAnsiTheme="minorEastAsia"/>
                <w:sz w:val="24"/>
                <w:szCs w:val="24"/>
              </w:rPr>
              <w:t>宽带钢热连轧机</w:t>
            </w:r>
            <w:r w:rsidRPr="001648B5">
              <w:rPr>
                <w:rFonts w:eastAsiaTheme="minorEastAsia"/>
                <w:sz w:val="24"/>
                <w:szCs w:val="24"/>
              </w:rPr>
              <w:t xml:space="preserve"> ASR </w:t>
            </w:r>
            <w:r w:rsidRPr="001648B5">
              <w:rPr>
                <w:rFonts w:eastAsiaTheme="minorEastAsia" w:hAnsiTheme="minorEastAsia"/>
                <w:sz w:val="24"/>
                <w:szCs w:val="24"/>
              </w:rPr>
              <w:t>机型与电工钢板形控制核心技术</w:t>
            </w:r>
            <w:r w:rsidRPr="001648B5">
              <w:rPr>
                <w:rFonts w:eastAsiaTheme="minorEastAsia"/>
                <w:sz w:val="24"/>
                <w:szCs w:val="24"/>
              </w:rPr>
              <w:t>”</w:t>
            </w:r>
            <w:r w:rsidRPr="001648B5">
              <w:rPr>
                <w:rFonts w:eastAsiaTheme="minorEastAsia" w:hAnsiTheme="minorEastAsia"/>
                <w:sz w:val="24"/>
                <w:szCs w:val="24"/>
              </w:rPr>
              <w:t>大规模稳定工业应用取得轧辊</w:t>
            </w:r>
            <w:proofErr w:type="gramStart"/>
            <w:r w:rsidRPr="001648B5">
              <w:rPr>
                <w:rFonts w:eastAsiaTheme="minorEastAsia" w:hAnsiTheme="minorEastAsia"/>
                <w:sz w:val="24"/>
                <w:szCs w:val="24"/>
              </w:rPr>
              <w:t>辊耗下降</w:t>
            </w:r>
            <w:proofErr w:type="gramEnd"/>
            <w:r w:rsidRPr="001648B5">
              <w:rPr>
                <w:rFonts w:eastAsiaTheme="minorEastAsia"/>
                <w:sz w:val="24"/>
                <w:szCs w:val="24"/>
              </w:rPr>
              <w:t xml:space="preserve"> 14%</w:t>
            </w:r>
            <w:r w:rsidRPr="001648B5">
              <w:rPr>
                <w:rFonts w:eastAsiaTheme="minorEastAsia" w:hAnsiTheme="minorEastAsia"/>
                <w:sz w:val="24"/>
                <w:szCs w:val="24"/>
              </w:rPr>
              <w:t>，板形平坦度精度稳定达到</w:t>
            </w:r>
            <w:r w:rsidRPr="001648B5">
              <w:rPr>
                <w:rFonts w:eastAsiaTheme="minorEastAsia"/>
                <w:sz w:val="24"/>
                <w:szCs w:val="24"/>
              </w:rPr>
              <w:t>93.12%</w:t>
            </w:r>
            <w:r w:rsidRPr="001648B5">
              <w:rPr>
                <w:rFonts w:eastAsiaTheme="minorEastAsia" w:hAnsiTheme="minorEastAsia"/>
                <w:sz w:val="24"/>
                <w:szCs w:val="24"/>
              </w:rPr>
              <w:t>，凸度合格率由</w:t>
            </w:r>
            <w:r w:rsidRPr="001648B5">
              <w:rPr>
                <w:rFonts w:eastAsiaTheme="minorEastAsia"/>
                <w:sz w:val="24"/>
                <w:szCs w:val="24"/>
              </w:rPr>
              <w:t>50%</w:t>
            </w:r>
            <w:r w:rsidRPr="001648B5">
              <w:rPr>
                <w:rFonts w:eastAsiaTheme="minorEastAsia" w:hAnsiTheme="minorEastAsia"/>
                <w:sz w:val="24"/>
                <w:szCs w:val="24"/>
              </w:rPr>
              <w:t>提高</w:t>
            </w:r>
            <w:r w:rsidRPr="001648B5">
              <w:rPr>
                <w:rFonts w:eastAsiaTheme="minorEastAsia"/>
                <w:sz w:val="24"/>
                <w:szCs w:val="24"/>
              </w:rPr>
              <w:t>92.7%</w:t>
            </w:r>
            <w:r w:rsidRPr="001648B5">
              <w:rPr>
                <w:rFonts w:eastAsiaTheme="minorEastAsia" w:hAnsiTheme="minorEastAsia"/>
                <w:sz w:val="24"/>
                <w:szCs w:val="24"/>
              </w:rPr>
              <w:t>、楔形合格率由</w:t>
            </w:r>
            <w:r w:rsidRPr="001648B5">
              <w:rPr>
                <w:rFonts w:eastAsiaTheme="minorEastAsia"/>
                <w:sz w:val="24"/>
                <w:szCs w:val="24"/>
              </w:rPr>
              <w:t>68.54%</w:t>
            </w:r>
            <w:r w:rsidRPr="001648B5">
              <w:rPr>
                <w:rFonts w:eastAsiaTheme="minorEastAsia" w:hAnsiTheme="minorEastAsia"/>
                <w:sz w:val="24"/>
                <w:szCs w:val="24"/>
              </w:rPr>
              <w:t>提高到</w:t>
            </w:r>
            <w:r w:rsidRPr="001648B5">
              <w:rPr>
                <w:rFonts w:eastAsiaTheme="minorEastAsia"/>
                <w:sz w:val="24"/>
                <w:szCs w:val="24"/>
              </w:rPr>
              <w:t>95.48%</w:t>
            </w:r>
            <w:r w:rsidRPr="001648B5">
              <w:rPr>
                <w:rFonts w:eastAsiaTheme="minorEastAsia" w:hAnsiTheme="minorEastAsia"/>
                <w:sz w:val="24"/>
                <w:szCs w:val="24"/>
              </w:rPr>
              <w:t>的显著生产实绩，控制效果优于大型板材热连轧机广泛使用的</w:t>
            </w:r>
          </w:p>
        </w:tc>
      </w:tr>
      <w:tr w:rsidR="00A4050F" w:rsidRPr="001648B5" w:rsidTr="007E7A24">
        <w:trPr>
          <w:trHeight w:val="567"/>
        </w:trPr>
        <w:tc>
          <w:tcPr>
            <w:tcW w:w="1664"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成果成熟度</w:t>
            </w:r>
          </w:p>
        </w:tc>
        <w:tc>
          <w:tcPr>
            <w:tcW w:w="7288" w:type="dxa"/>
            <w:gridSpan w:val="3"/>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研制阶段</w:t>
            </w:r>
            <w:r w:rsidRPr="001648B5">
              <w:rPr>
                <w:rFonts w:eastAsiaTheme="minorEastAsia"/>
                <w:kern w:val="2"/>
                <w:sz w:val="24"/>
                <w:szCs w:val="24"/>
              </w:rPr>
              <w:t xml:space="preserve"> □</w:t>
            </w:r>
            <w:r w:rsidRPr="001648B5">
              <w:rPr>
                <w:rFonts w:eastAsiaTheme="minorEastAsia" w:hAnsiTheme="minorEastAsia"/>
                <w:kern w:val="2"/>
                <w:sz w:val="24"/>
                <w:szCs w:val="24"/>
              </w:rPr>
              <w:t>试生产</w:t>
            </w:r>
            <w:r w:rsidRPr="001648B5">
              <w:rPr>
                <w:rFonts w:eastAsiaTheme="minorEastAsia"/>
                <w:kern w:val="2"/>
                <w:sz w:val="24"/>
                <w:szCs w:val="24"/>
              </w:rPr>
              <w:t xml:space="preserve"> □</w:t>
            </w:r>
            <w:r w:rsidRPr="001648B5">
              <w:rPr>
                <w:rFonts w:eastAsiaTheme="minorEastAsia" w:hAnsiTheme="minorEastAsia"/>
                <w:kern w:val="2"/>
                <w:sz w:val="24"/>
                <w:szCs w:val="24"/>
              </w:rPr>
              <w:t>小批量生产</w:t>
            </w:r>
            <w:r w:rsidRPr="001648B5">
              <w:rPr>
                <w:rFonts w:eastAsiaTheme="minorEastAsia"/>
                <w:kern w:val="2"/>
                <w:sz w:val="24"/>
                <w:szCs w:val="24"/>
              </w:rPr>
              <w:t xml:space="preserve"> ■</w:t>
            </w:r>
            <w:r w:rsidRPr="001648B5">
              <w:rPr>
                <w:rFonts w:eastAsiaTheme="minorEastAsia" w:hAnsiTheme="minorEastAsia"/>
                <w:kern w:val="2"/>
                <w:sz w:val="24"/>
                <w:szCs w:val="24"/>
              </w:rPr>
              <w:t>批量生产</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A4050F" w:rsidRPr="001648B5" w:rsidTr="007E7A24">
        <w:trPr>
          <w:trHeight w:val="567"/>
        </w:trPr>
        <w:tc>
          <w:tcPr>
            <w:tcW w:w="1664"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合作方式</w:t>
            </w:r>
          </w:p>
        </w:tc>
        <w:tc>
          <w:tcPr>
            <w:tcW w:w="7288" w:type="dxa"/>
            <w:gridSpan w:val="3"/>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技术开发</w:t>
            </w:r>
            <w:r w:rsidRPr="001648B5">
              <w:rPr>
                <w:rFonts w:eastAsiaTheme="minorEastAsia"/>
                <w:kern w:val="2"/>
                <w:sz w:val="24"/>
                <w:szCs w:val="24"/>
              </w:rPr>
              <w:t xml:space="preserve"> ■</w:t>
            </w:r>
            <w:r w:rsidRPr="001648B5">
              <w:rPr>
                <w:rFonts w:eastAsiaTheme="minorEastAsia" w:hAnsiTheme="minorEastAsia"/>
                <w:kern w:val="2"/>
                <w:sz w:val="24"/>
                <w:szCs w:val="24"/>
              </w:rPr>
              <w:t>技术入股</w:t>
            </w:r>
            <w:r w:rsidRPr="001648B5">
              <w:rPr>
                <w:rFonts w:eastAsiaTheme="minorEastAsia"/>
                <w:kern w:val="2"/>
                <w:sz w:val="24"/>
                <w:szCs w:val="24"/>
              </w:rPr>
              <w:t xml:space="preserve"> ■</w:t>
            </w:r>
            <w:r w:rsidRPr="001648B5">
              <w:rPr>
                <w:rFonts w:eastAsiaTheme="minorEastAsia" w:hAnsiTheme="minorEastAsia"/>
                <w:kern w:val="2"/>
                <w:sz w:val="24"/>
                <w:szCs w:val="24"/>
              </w:rPr>
              <w:t>技术转让</w:t>
            </w:r>
            <w:r w:rsidRPr="001648B5">
              <w:rPr>
                <w:rFonts w:eastAsiaTheme="minorEastAsia"/>
                <w:kern w:val="2"/>
                <w:sz w:val="24"/>
                <w:szCs w:val="24"/>
              </w:rPr>
              <w:t xml:space="preserve"> □</w:t>
            </w:r>
            <w:r w:rsidRPr="001648B5">
              <w:rPr>
                <w:rFonts w:eastAsiaTheme="minorEastAsia" w:hAnsiTheme="minorEastAsia"/>
                <w:kern w:val="2"/>
                <w:sz w:val="24"/>
                <w:szCs w:val="24"/>
              </w:rPr>
              <w:t>技术服务</w:t>
            </w:r>
            <w:r w:rsidRPr="001648B5">
              <w:rPr>
                <w:rFonts w:eastAsiaTheme="minorEastAsia"/>
                <w:kern w:val="2"/>
                <w:sz w:val="24"/>
                <w:szCs w:val="24"/>
              </w:rPr>
              <w:t xml:space="preserve"> □</w:t>
            </w:r>
            <w:r w:rsidRPr="001648B5">
              <w:rPr>
                <w:rFonts w:eastAsiaTheme="minorEastAsia" w:hAnsiTheme="minorEastAsia"/>
                <w:kern w:val="2"/>
                <w:sz w:val="24"/>
                <w:szCs w:val="24"/>
              </w:rPr>
              <w:t>技术咨询</w:t>
            </w:r>
          </w:p>
          <w:p w:rsidR="00A4050F" w:rsidRPr="001648B5" w:rsidRDefault="00A4050F" w:rsidP="007E7A24">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人才培养</w:t>
            </w:r>
            <w:r w:rsidRPr="001648B5">
              <w:rPr>
                <w:rFonts w:eastAsiaTheme="minorEastAsia"/>
                <w:kern w:val="2"/>
                <w:sz w:val="24"/>
                <w:szCs w:val="24"/>
              </w:rPr>
              <w:t xml:space="preserve"> □</w:t>
            </w:r>
            <w:r w:rsidRPr="001648B5">
              <w:rPr>
                <w:rFonts w:eastAsiaTheme="minorEastAsia" w:hAnsiTheme="minorEastAsia"/>
                <w:kern w:val="2"/>
                <w:sz w:val="24"/>
                <w:szCs w:val="24"/>
              </w:rPr>
              <w:t>共建载体</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A4050F" w:rsidRPr="001648B5" w:rsidTr="007E7A24">
        <w:trPr>
          <w:trHeight w:val="567"/>
        </w:trPr>
        <w:tc>
          <w:tcPr>
            <w:tcW w:w="1664"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成果完成人</w:t>
            </w:r>
          </w:p>
        </w:tc>
        <w:tc>
          <w:tcPr>
            <w:tcW w:w="2856"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联系电话</w:t>
            </w:r>
          </w:p>
        </w:tc>
        <w:tc>
          <w:tcPr>
            <w:tcW w:w="2860"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p>
        </w:tc>
      </w:tr>
      <w:tr w:rsidR="00A4050F" w:rsidRPr="001648B5" w:rsidTr="007E7A24">
        <w:trPr>
          <w:trHeight w:val="567"/>
        </w:trPr>
        <w:tc>
          <w:tcPr>
            <w:tcW w:w="1664"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联系人</w:t>
            </w:r>
          </w:p>
        </w:tc>
        <w:tc>
          <w:tcPr>
            <w:tcW w:w="2856"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北科资产管理处</w:t>
            </w:r>
          </w:p>
        </w:tc>
        <w:tc>
          <w:tcPr>
            <w:tcW w:w="1572"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联系电话</w:t>
            </w:r>
          </w:p>
        </w:tc>
        <w:tc>
          <w:tcPr>
            <w:tcW w:w="2860"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kern w:val="2"/>
                <w:sz w:val="24"/>
                <w:szCs w:val="24"/>
              </w:rPr>
              <w:t>010-62332975</w:t>
            </w:r>
          </w:p>
        </w:tc>
      </w:tr>
      <w:tr w:rsidR="00A4050F" w:rsidRPr="001648B5" w:rsidTr="007E7A24">
        <w:trPr>
          <w:trHeight w:val="567"/>
        </w:trPr>
        <w:tc>
          <w:tcPr>
            <w:tcW w:w="1664"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电子邮箱</w:t>
            </w:r>
          </w:p>
        </w:tc>
        <w:tc>
          <w:tcPr>
            <w:tcW w:w="2856"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kern w:val="2"/>
                <w:sz w:val="24"/>
                <w:szCs w:val="24"/>
              </w:rPr>
              <w:t>admin@ustbcm.com</w:t>
            </w:r>
          </w:p>
        </w:tc>
        <w:tc>
          <w:tcPr>
            <w:tcW w:w="1572"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r w:rsidRPr="001648B5">
              <w:rPr>
                <w:rFonts w:eastAsiaTheme="minorEastAsia" w:hAnsiTheme="minorEastAsia"/>
                <w:kern w:val="2"/>
                <w:sz w:val="24"/>
                <w:szCs w:val="24"/>
              </w:rPr>
              <w:t>手机号码</w:t>
            </w:r>
          </w:p>
        </w:tc>
        <w:tc>
          <w:tcPr>
            <w:tcW w:w="2860" w:type="dxa"/>
            <w:tcBorders>
              <w:top w:val="single" w:sz="4" w:space="0" w:color="auto"/>
              <w:left w:val="single" w:sz="4" w:space="0" w:color="auto"/>
              <w:bottom w:val="single" w:sz="4" w:space="0" w:color="auto"/>
              <w:right w:val="single" w:sz="4" w:space="0" w:color="auto"/>
            </w:tcBorders>
            <w:vAlign w:val="center"/>
          </w:tcPr>
          <w:p w:rsidR="00A4050F" w:rsidRPr="001648B5" w:rsidRDefault="00A4050F" w:rsidP="007E7A24">
            <w:pPr>
              <w:adjustRightInd w:val="0"/>
              <w:spacing w:line="240" w:lineRule="auto"/>
              <w:ind w:firstLine="0"/>
              <w:jc w:val="center"/>
              <w:rPr>
                <w:rFonts w:eastAsiaTheme="minorEastAsia"/>
                <w:kern w:val="2"/>
                <w:sz w:val="24"/>
                <w:szCs w:val="24"/>
              </w:rPr>
            </w:pPr>
          </w:p>
        </w:tc>
      </w:tr>
    </w:tbl>
    <w:p w:rsidR="00762F5F" w:rsidRDefault="00762F5F"/>
    <w:sectPr w:rsidR="00762F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B4"/>
    <w:rsid w:val="00252AB4"/>
    <w:rsid w:val="002C3BD6"/>
    <w:rsid w:val="00762F5F"/>
    <w:rsid w:val="00A4050F"/>
    <w:rsid w:val="00A74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0F"/>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0F"/>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5</cp:revision>
  <dcterms:created xsi:type="dcterms:W3CDTF">2019-02-10T02:40:00Z</dcterms:created>
  <dcterms:modified xsi:type="dcterms:W3CDTF">2019-02-10T02:49:00Z</dcterms:modified>
</cp:coreProperties>
</file>