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pacing w:line="276" w:lineRule="auto"/>
        <w:ind w:firstLine="420"/>
        <w:jc w:val="left"/>
        <w:rPr>
          <w:rFonts w:ascii="宋体" w:hAnsi="宋体" w:cs="Tahoma"/>
          <w:b/>
          <w:kern w:val="0"/>
          <w:sz w:val="32"/>
          <w:szCs w:val="32"/>
        </w:rPr>
      </w:pPr>
      <w:r>
        <w:rPr>
          <w:rFonts w:hint="eastAsia" w:ascii="宋体" w:hAnsi="宋体" w:cs="Tahoma"/>
          <w:b/>
          <w:kern w:val="0"/>
          <w:sz w:val="32"/>
          <w:szCs w:val="32"/>
          <w:lang w:eastAsia="zh-CN"/>
        </w:rPr>
        <w:t>江阴金泰克生物技术有限</w:t>
      </w:r>
      <w:bookmarkStart w:id="0" w:name="_GoBack"/>
      <w:bookmarkEnd w:id="0"/>
      <w:r>
        <w:rPr>
          <w:rFonts w:ascii="宋体" w:hAnsi="宋体" w:cs="Tahoma"/>
          <w:b/>
          <w:kern w:val="0"/>
          <w:sz w:val="32"/>
          <w:szCs w:val="32"/>
        </w:rPr>
        <w:t>公司介绍资料</w:t>
      </w:r>
      <w:r>
        <w:rPr>
          <w:rFonts w:hint="eastAsia" w:ascii="宋体" w:hAnsi="宋体" w:cs="Tahoma"/>
          <w:b/>
          <w:kern w:val="0"/>
          <w:sz w:val="32"/>
          <w:szCs w:val="32"/>
        </w:rPr>
        <w:t>：</w:t>
      </w:r>
    </w:p>
    <w:p>
      <w:pPr>
        <w:widowControl/>
        <w:spacing w:line="276" w:lineRule="auto"/>
        <w:ind w:firstLine="420"/>
        <w:jc w:val="left"/>
        <w:rPr>
          <w:rFonts w:ascii="宋体" w:hAnsi="宋体" w:cs="宋体"/>
          <w:kern w:val="0"/>
          <w:sz w:val="28"/>
          <w:szCs w:val="28"/>
        </w:rPr>
      </w:pPr>
      <w:r>
        <w:rPr>
          <w:rFonts w:ascii="宋体" w:hAnsi="宋体" w:cs="宋体"/>
          <w:kern w:val="0"/>
          <w:sz w:val="28"/>
          <w:szCs w:val="28"/>
        </w:rPr>
        <w:t>20</w:t>
      </w:r>
      <w:r>
        <w:rPr>
          <w:rFonts w:hint="eastAsia" w:ascii="宋体" w:hAnsi="宋体" w:cs="宋体"/>
          <w:kern w:val="0"/>
          <w:sz w:val="28"/>
          <w:szCs w:val="28"/>
        </w:rPr>
        <w:t>09年10月公司创始人ZHANGJIE（张杰）获无锡引进海归人才</w:t>
      </w:r>
      <w:r>
        <w:rPr>
          <w:rFonts w:ascii="宋体" w:hAnsi="宋体" w:cs="宋体"/>
          <w:kern w:val="0"/>
          <w:sz w:val="28"/>
          <w:szCs w:val="28"/>
        </w:rPr>
        <w:t>530</w:t>
      </w:r>
      <w:r>
        <w:rPr>
          <w:rFonts w:hint="eastAsia" w:ascii="宋体" w:hAnsi="宋体" w:cs="宋体"/>
          <w:kern w:val="0"/>
          <w:sz w:val="28"/>
          <w:szCs w:val="28"/>
        </w:rPr>
        <w:t>C类资助。</w:t>
      </w:r>
      <w:r>
        <w:rPr>
          <w:rFonts w:ascii="宋体" w:hAnsi="宋体" w:cs="宋体"/>
          <w:kern w:val="0"/>
          <w:sz w:val="28"/>
          <w:szCs w:val="28"/>
        </w:rPr>
        <w:t>20</w:t>
      </w:r>
      <w:r>
        <w:rPr>
          <w:rFonts w:hint="eastAsia" w:ascii="宋体" w:hAnsi="宋体" w:cs="宋体"/>
          <w:kern w:val="0"/>
          <w:sz w:val="28"/>
          <w:szCs w:val="28"/>
        </w:rPr>
        <w:t>09年</w:t>
      </w:r>
      <w:r>
        <w:rPr>
          <w:rFonts w:ascii="宋体" w:hAnsi="宋体" w:cs="宋体"/>
          <w:kern w:val="0"/>
          <w:sz w:val="28"/>
          <w:szCs w:val="28"/>
        </w:rPr>
        <w:t>1</w:t>
      </w:r>
      <w:r>
        <w:rPr>
          <w:rFonts w:hint="eastAsia" w:ascii="宋体" w:hAnsi="宋体" w:cs="宋体"/>
          <w:kern w:val="0"/>
          <w:sz w:val="28"/>
          <w:szCs w:val="28"/>
        </w:rPr>
        <w:t>0月19日正式注册江阴金泰克生物技有限公司，注册资本100万元，实收资本100万元，股东为张杰、马泉生二个自然人，入驻江阴市百桥国际生物科技孵化园。</w:t>
      </w:r>
      <w:r>
        <w:rPr>
          <w:rFonts w:ascii="宋体" w:hAnsi="宋体" w:cs="宋体"/>
          <w:kern w:val="0"/>
          <w:sz w:val="28"/>
          <w:szCs w:val="28"/>
        </w:rPr>
        <w:t>201</w:t>
      </w:r>
      <w:r>
        <w:rPr>
          <w:rFonts w:hint="eastAsia" w:ascii="宋体" w:hAnsi="宋体" w:cs="宋体"/>
          <w:kern w:val="0"/>
          <w:sz w:val="28"/>
          <w:szCs w:val="28"/>
        </w:rPr>
        <w:t>0年</w:t>
      </w:r>
      <w:r>
        <w:rPr>
          <w:rFonts w:ascii="宋体" w:hAnsi="宋体" w:cs="宋体"/>
          <w:kern w:val="0"/>
          <w:sz w:val="28"/>
          <w:szCs w:val="28"/>
        </w:rPr>
        <w:t>1</w:t>
      </w:r>
      <w:r>
        <w:rPr>
          <w:rFonts w:hint="eastAsia" w:ascii="宋体" w:hAnsi="宋体" w:cs="宋体"/>
          <w:kern w:val="0"/>
          <w:sz w:val="28"/>
          <w:szCs w:val="28"/>
        </w:rPr>
        <w:t>2月25日作为首家企业正式入驻江阴国家高新区扬子江生物医药加速器，产品进入产业化开发。</w:t>
      </w:r>
    </w:p>
    <w:p>
      <w:pPr>
        <w:widowControl/>
        <w:spacing w:line="276" w:lineRule="auto"/>
        <w:ind w:firstLine="420"/>
        <w:jc w:val="left"/>
        <w:rPr>
          <w:rFonts w:ascii="宋体" w:hAnsi="宋体" w:cs="宋体"/>
          <w:kern w:val="0"/>
          <w:sz w:val="28"/>
          <w:szCs w:val="28"/>
        </w:rPr>
      </w:pPr>
      <w:r>
        <w:rPr>
          <w:rFonts w:hint="eastAsia" w:ascii="宋体" w:hAnsi="宋体" w:cs="宋体"/>
          <w:kern w:val="0"/>
          <w:sz w:val="28"/>
          <w:szCs w:val="28"/>
        </w:rPr>
        <w:t xml:space="preserve"> 2012年5月16日公司增资扩股，江阴民间天使投资入股600万，加上公司知识产权评估后，公司注册资本增至1000万元。股东变为张杰、马泉生、汪瑞敏三个自然人。</w:t>
      </w:r>
    </w:p>
    <w:p>
      <w:pPr>
        <w:widowControl/>
        <w:spacing w:line="276" w:lineRule="auto"/>
        <w:ind w:firstLine="420"/>
        <w:jc w:val="left"/>
        <w:rPr>
          <w:rFonts w:ascii="宋体" w:hAnsi="宋体" w:cs="宋体"/>
          <w:kern w:val="0"/>
          <w:sz w:val="28"/>
          <w:szCs w:val="28"/>
        </w:rPr>
      </w:pPr>
      <w:r>
        <w:rPr>
          <w:rFonts w:hint="eastAsia" w:ascii="宋体" w:hAnsi="宋体" w:cs="宋体"/>
          <w:kern w:val="0"/>
          <w:sz w:val="28"/>
          <w:szCs w:val="28"/>
        </w:rPr>
        <w:t>2012年，公司建立近2000平方米的生产厂房，其中包括400平方米的十万级GMP洁净车间和万级的无菌实验室。2013年7月13日，公司获得医疗器械生产许可证；2014年1月8日，获得牙种植系统及牙种植器械盒工具CE认证；2014年6月25日，获得定制式固定义齿注册证。此外，种植牙系统注册证的申报也已进入临床试验阶段，有望于2015年底完成。</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w:t>
      </w:r>
      <w:r>
        <w:rPr>
          <w:rFonts w:ascii="宋体" w:hAnsi="宋体" w:cs="宋体"/>
          <w:kern w:val="0"/>
          <w:sz w:val="28"/>
          <w:szCs w:val="28"/>
        </w:rPr>
        <w:t>2</w:t>
      </w:r>
      <w:r>
        <w:rPr>
          <w:rFonts w:hint="eastAsia" w:ascii="宋体" w:hAnsi="宋体" w:cs="宋体"/>
          <w:kern w:val="0"/>
          <w:sz w:val="28"/>
          <w:szCs w:val="28"/>
        </w:rPr>
        <w:t>）公司所属行业情况</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江阴金泰克生物技术有限公司在国民经济行业分类中归属3582口腔科用设备及器具制造，目前主要以种植牙系统、种植器械盒等产品的生产销售为主，同时着手研发牙科骨粉、牙周膜冶剂、口腔修复膜等一系列牙种植附属产品。</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在中国市场，种植体系统大部分靠进口，其中诺贝尔公司（Branemark系统和Replace系统）占整个牙种植体市场的30%，瑞士ITI公司占15%，3I公司占10%，成为主要的几个品牌。但这些国际产品价格太高（仅材料价格每套300—800美元），主要供各大医院和知名门诊使用。其次韩国产品如奥齿泰，帝奥等品牌其产品价位每套约200-400美元，主要供二线城市的口腔医院和私人门诊使用。国内有资质的品牌主要有卫生部口腔种植科技中心的CDIC种植体，北京莱顿公司的BLB种植体，山东威高的牙种植体等。与进口产品相比，国内产品价格相对较低，约1000元人民币左右，但由于在设计和加工方面的难题尚未解决，牙种植体临床种植的成功率不高，导致产品的市场销售和推广都不理想。</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公司利用自身的技术，参照了国外知名品牌Branemark系统和ITI系统的设计理念，结合中国著名口腔种植医师的实践经验和操作习惯以及中国缺牙患者临床情况和消费水平，设计出临床操作简易、应用方便、容易上手、微创可靠的牙种植体及配套的工具盒，种植机。</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公司法人代表张杰博士拥有哈佛医学博士及美国百森商学院硕士学位，曾获得瑞典皇家科学院的Lar研究员奖，美国口腔研究协会的青年科学家海顿奖最终入选者,具有现代生物医药技术和跨国公司的国际市场营销管理的背景，还有在中国成功创业的经历，在口腔医学方面拥有先进的技术水平。回国后，他集结了一批有丰富研发、生产、销售经验的国内外专家和人才，共同开拓牙种植体市场。</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JTK牙种植体是由以纯钛金属为原料，具有较好组织兼容性以及稳固性的修复装置。具有极强的临床应用价值。另外JTK牙种植体的生产成本完全控制在100元以内，与国外同类产品相比具有很大的价格空间优势 （JTK品牌市场价暂定900元左右）。还有公司具有的强大医师资源和技术储备，具有极强的市场竞争优势。</w:t>
      </w:r>
    </w:p>
    <w:p>
      <w:pPr>
        <w:widowControl/>
        <w:spacing w:line="276" w:lineRule="auto"/>
        <w:jc w:val="left"/>
        <w:rPr>
          <w:rFonts w:ascii="宋体" w:cs="宋体"/>
          <w:kern w:val="0"/>
          <w:sz w:val="28"/>
          <w:szCs w:val="28"/>
        </w:rPr>
      </w:pPr>
      <w:r>
        <w:rPr>
          <w:rFonts w:hint="eastAsia" w:ascii="宋体" w:hAnsi="宋体" w:cs="宋体"/>
          <w:kern w:val="0"/>
          <w:sz w:val="28"/>
          <w:szCs w:val="28"/>
        </w:rPr>
        <w:t>（</w:t>
      </w:r>
      <w:r>
        <w:rPr>
          <w:rFonts w:ascii="宋体" w:hAnsi="宋体" w:cs="宋体"/>
          <w:kern w:val="0"/>
          <w:sz w:val="28"/>
          <w:szCs w:val="28"/>
        </w:rPr>
        <w:t>3</w:t>
      </w:r>
      <w:r>
        <w:rPr>
          <w:rFonts w:hint="eastAsia" w:ascii="宋体" w:hAnsi="宋体" w:cs="宋体"/>
          <w:kern w:val="0"/>
          <w:sz w:val="28"/>
          <w:szCs w:val="28"/>
        </w:rPr>
        <w:t>）公司经营情况概述</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以公司三大产品（JTK牙种植体、JTK义齿、金诚口腔门诊连锁）为主线，从研发、生产、销售、口腔门诊连锁服务以及种植技术推广、医生培训、学术讲座等环节着手进行成本控制和市场营销，达到公司利益的最大化，获得市场的最大份额。具体为：1）在国内生产并在国内外市场销售自行研发的JTK牙种植体、JTK牙种植器械盒、JTK义齿种植机和其他附属产品，2）为国外厂家提供委托加工牙种植体及相关产品的外包服务；3）在国内外客户提供全瓷牙加工服务；4）开展“金诚口腔”种植的全国连锁，为广大缺牙患者提供优质的牙种植服务。</w:t>
      </w:r>
    </w:p>
    <w:p>
      <w:pPr>
        <w:widowControl/>
        <w:numPr>
          <w:ilvl w:val="0"/>
          <w:numId w:val="1"/>
        </w:numPr>
        <w:spacing w:line="276" w:lineRule="auto"/>
        <w:jc w:val="left"/>
        <w:rPr>
          <w:rFonts w:ascii="宋体" w:hAnsi="宋体" w:cs="宋体"/>
          <w:kern w:val="0"/>
          <w:sz w:val="28"/>
          <w:szCs w:val="28"/>
        </w:rPr>
      </w:pPr>
      <w:r>
        <w:rPr>
          <w:rFonts w:hint="eastAsia" w:ascii="宋体" w:hAnsi="宋体" w:cs="宋体"/>
          <w:kern w:val="0"/>
          <w:sz w:val="28"/>
          <w:szCs w:val="28"/>
        </w:rPr>
        <w:t>公司未来发展规划</w:t>
      </w:r>
      <w:r>
        <w:rPr>
          <w:rFonts w:ascii="宋体" w:hAnsi="宋体" w:cs="宋体"/>
          <w:kern w:val="0"/>
          <w:sz w:val="28"/>
          <w:szCs w:val="28"/>
        </w:rPr>
        <w:t xml:space="preserve"> </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1、2016年,完成牙种植获得国内FDA注册认证。</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2、2018年，完成牙科骨粉的注册检验。</w:t>
      </w:r>
    </w:p>
    <w:p>
      <w:pPr>
        <w:widowControl/>
        <w:numPr>
          <w:ilvl w:val="0"/>
          <w:numId w:val="2"/>
        </w:numPr>
        <w:spacing w:line="276" w:lineRule="auto"/>
        <w:jc w:val="left"/>
        <w:rPr>
          <w:rFonts w:ascii="宋体" w:hAnsi="宋体" w:cs="宋体"/>
          <w:kern w:val="0"/>
          <w:sz w:val="28"/>
          <w:szCs w:val="28"/>
        </w:rPr>
      </w:pPr>
      <w:r>
        <w:rPr>
          <w:rFonts w:hint="eastAsia" w:ascii="宋体" w:hAnsi="宋体" w:cs="宋体"/>
          <w:kern w:val="0"/>
          <w:sz w:val="28"/>
          <w:szCs w:val="28"/>
        </w:rPr>
        <w:t>继续开发牙周塞冶剂及口腔修复膜等种植体附属产品。</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4、完成并建立年产10万颗牙植体的生产线建设。</w:t>
      </w:r>
    </w:p>
    <w:p>
      <w:pPr>
        <w:widowControl/>
        <w:spacing w:line="276" w:lineRule="auto"/>
        <w:jc w:val="left"/>
        <w:rPr>
          <w:rFonts w:ascii="宋体" w:hAnsi="宋体" w:cs="宋体"/>
          <w:kern w:val="0"/>
          <w:sz w:val="28"/>
          <w:szCs w:val="28"/>
        </w:rPr>
      </w:pPr>
      <w:r>
        <w:rPr>
          <w:rFonts w:hint="eastAsia" w:ascii="宋体" w:hAnsi="宋体" w:cs="宋体"/>
          <w:kern w:val="0"/>
          <w:sz w:val="28"/>
          <w:szCs w:val="28"/>
        </w:rPr>
        <w:t>5、建立中国大中城市的销售网络，同时公司获得进出口权资质，开拓亚太地区和拉丁美洲等发展中国家市场。</w:t>
      </w:r>
    </w:p>
    <w:p>
      <w:pPr>
        <w:widowControl/>
        <w:spacing w:line="276" w:lineRule="auto"/>
        <w:jc w:val="left"/>
        <w:rPr>
          <w:rFonts w:ascii="宋体" w:hAnsi="宋体" w:cs="宋体"/>
          <w:kern w:val="0"/>
          <w:sz w:val="28"/>
          <w:szCs w:val="28"/>
        </w:rPr>
      </w:pPr>
    </w:p>
    <w:p>
      <w:pPr>
        <w:widowControl/>
        <w:spacing w:line="276" w:lineRule="auto"/>
        <w:jc w:val="left"/>
        <w:rPr>
          <w:rFonts w:ascii="宋体" w:hAnsi="宋体" w:cs="宋体"/>
          <w:kern w:val="0"/>
          <w:sz w:val="28"/>
          <w:szCs w:val="28"/>
        </w:rPr>
      </w:pPr>
      <w:r>
        <w:rPr>
          <w:rFonts w:hint="eastAsia" w:ascii="宋体" w:hAnsi="宋体" w:cs="宋体"/>
          <w:kern w:val="0"/>
          <w:sz w:val="28"/>
          <w:szCs w:val="28"/>
        </w:rPr>
        <w:t xml:space="preserve">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ail">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22256086">
    <w:nsid w:val="54C5E7D6"/>
    <w:multiLevelType w:val="singleLevel"/>
    <w:tmpl w:val="54C5E7D6"/>
    <w:lvl w:ilvl="0" w:tentative="1">
      <w:start w:val="3"/>
      <w:numFmt w:val="decimal"/>
      <w:suff w:val="nothing"/>
      <w:lvlText w:val="%1、"/>
      <w:lvlJc w:val="left"/>
    </w:lvl>
  </w:abstractNum>
  <w:abstractNum w:abstractNumId="1422256007">
    <w:nsid w:val="54C5E787"/>
    <w:multiLevelType w:val="singleLevel"/>
    <w:tmpl w:val="54C5E787"/>
    <w:lvl w:ilvl="0" w:tentative="1">
      <w:start w:val="4"/>
      <w:numFmt w:val="decimal"/>
      <w:suff w:val="space"/>
      <w:lvlText w:val="(%1)"/>
      <w:lvlJc w:val="left"/>
    </w:lvl>
  </w:abstractNum>
  <w:num w:numId="1">
    <w:abstractNumId w:val="1422256007"/>
  </w:num>
  <w:num w:numId="2">
    <w:abstractNumId w:val="142225608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F40626"/>
    <w:rsid w:val="000B50D3"/>
    <w:rsid w:val="000C01D0"/>
    <w:rsid w:val="0010294D"/>
    <w:rsid w:val="001F5DC7"/>
    <w:rsid w:val="00782254"/>
    <w:rsid w:val="008A7DF0"/>
    <w:rsid w:val="009C22E0"/>
    <w:rsid w:val="00F40626"/>
    <w:rsid w:val="00F90A49"/>
    <w:rsid w:val="00F913C8"/>
    <w:rsid w:val="06897EC7"/>
    <w:rsid w:val="0A26411C"/>
    <w:rsid w:val="0BEB65B2"/>
    <w:rsid w:val="0C635E82"/>
    <w:rsid w:val="0F0228CF"/>
    <w:rsid w:val="0FA066B7"/>
    <w:rsid w:val="10335A6E"/>
    <w:rsid w:val="11F922AC"/>
    <w:rsid w:val="1299719C"/>
    <w:rsid w:val="13872B12"/>
    <w:rsid w:val="142C67AA"/>
    <w:rsid w:val="14383BD6"/>
    <w:rsid w:val="15BB72AA"/>
    <w:rsid w:val="193344D1"/>
    <w:rsid w:val="1D3F286B"/>
    <w:rsid w:val="1F0800B3"/>
    <w:rsid w:val="1F0C171E"/>
    <w:rsid w:val="24133F9F"/>
    <w:rsid w:val="24351747"/>
    <w:rsid w:val="24D94BA5"/>
    <w:rsid w:val="2A25002F"/>
    <w:rsid w:val="2EF312DB"/>
    <w:rsid w:val="35D9034C"/>
    <w:rsid w:val="377B7C95"/>
    <w:rsid w:val="3E965CB8"/>
    <w:rsid w:val="4484691E"/>
    <w:rsid w:val="44D339D2"/>
    <w:rsid w:val="453F2AFF"/>
    <w:rsid w:val="51EE380D"/>
    <w:rsid w:val="56834DF5"/>
    <w:rsid w:val="5754332A"/>
    <w:rsid w:val="59FD0AEE"/>
    <w:rsid w:val="5A026466"/>
    <w:rsid w:val="5A443F19"/>
    <w:rsid w:val="5C2214BA"/>
    <w:rsid w:val="5E6D5671"/>
    <w:rsid w:val="5E80182A"/>
    <w:rsid w:val="61FA70FF"/>
    <w:rsid w:val="62F32201"/>
    <w:rsid w:val="65F8519F"/>
    <w:rsid w:val="6B791D3A"/>
    <w:rsid w:val="6E4D6F4D"/>
    <w:rsid w:val="6F466B9E"/>
    <w:rsid w:val="72C5031A"/>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semiHidden="0" w:name="Hyperlink"/>
    <w:lsdException w:uiPriority="0" w:semiHidden="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semiHidden="0" w:name="HTML Cite"/>
    <w:lsdException w:uiPriority="0" w:semiHidden="0" w:name="HTML Code"/>
    <w:lsdException w:uiPriority="0" w:semiHidden="0" w:name="HTML Definition"/>
    <w:lsdException w:uiPriority="0" w:semiHidden="0" w:name="HTML Keyboard"/>
    <w:lsdException w:uiPriority="0" w:name="HTML Preformatted"/>
    <w:lsdException w:uiPriority="0" w:semiHidden="0" w:name="HTML Sample"/>
    <w:lsdException w:uiPriority="0" w:name="HTML Typewriter"/>
    <w:lsdException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iPriority="59"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uiPriority w:val="1"/>
  </w:style>
  <w:style w:type="table" w:default="1" w:styleId="14">
    <w:name w:val="Normal Table"/>
    <w:unhideWhenUsed/>
    <w:uiPriority w:val="99"/>
    <w:tblPr>
      <w:tblStyle w:val="14"/>
      <w:tblLayout w:type="fixed"/>
      <w:tblCellMar>
        <w:top w:w="0" w:type="dxa"/>
        <w:left w:w="108" w:type="dxa"/>
        <w:bottom w:w="0" w:type="dxa"/>
        <w:right w:w="108" w:type="dxa"/>
      </w:tblCellMar>
    </w:tblPr>
    <w:tcPr>
      <w:textDirection w:val="lrTb"/>
    </w:tcPr>
  </w:style>
  <w:style w:type="paragraph" w:styleId="2">
    <w:name w:val="footer"/>
    <w:basedOn w:val="1"/>
    <w:link w:val="37"/>
    <w:unhideWhenUsed/>
    <w:uiPriority w:val="0"/>
    <w:pPr>
      <w:tabs>
        <w:tab w:val="center" w:pos="4153"/>
        <w:tab w:val="right" w:pos="8306"/>
      </w:tabs>
      <w:snapToGrid w:val="0"/>
      <w:jc w:val="left"/>
    </w:pPr>
    <w:rPr>
      <w:sz w:val="18"/>
      <w:szCs w:val="18"/>
    </w:rPr>
  </w:style>
  <w:style w:type="paragraph" w:styleId="3">
    <w:name w:val="header"/>
    <w:basedOn w:val="1"/>
    <w:link w:val="36"/>
    <w:unhideWhenUsed/>
    <w:uiPriority w:val="0"/>
    <w:pPr>
      <w:pBdr>
        <w:bottom w:val="single" w:color="auto" w:sz="6" w:space="1"/>
      </w:pBdr>
      <w:tabs>
        <w:tab w:val="center" w:pos="4153"/>
        <w:tab w:val="right" w:pos="8306"/>
      </w:tabs>
      <w:snapToGrid w:val="0"/>
      <w:jc w:val="center"/>
    </w:pPr>
    <w:rPr>
      <w:sz w:val="18"/>
      <w:szCs w:val="18"/>
    </w:rPr>
  </w:style>
  <w:style w:type="character" w:styleId="5">
    <w:name w:val="FollowedHyperlink"/>
    <w:unhideWhenUsed/>
    <w:uiPriority w:val="0"/>
    <w:rPr>
      <w:color w:val="136EC2"/>
      <w:u w:val="single"/>
    </w:rPr>
  </w:style>
  <w:style w:type="character" w:styleId="6">
    <w:name w:val="Emphasis"/>
    <w:basedOn w:val="4"/>
    <w:qFormat/>
    <w:uiPriority w:val="20"/>
    <w:rPr/>
  </w:style>
  <w:style w:type="character" w:styleId="7">
    <w:name w:val="HTML Definition"/>
    <w:basedOn w:val="4"/>
    <w:unhideWhenUsed/>
    <w:uiPriority w:val="0"/>
    <w:rPr/>
  </w:style>
  <w:style w:type="character" w:styleId="8">
    <w:name w:val="HTML Variable"/>
    <w:basedOn w:val="4"/>
    <w:unhideWhenUsed/>
    <w:uiPriority w:val="0"/>
    <w:rPr/>
  </w:style>
  <w:style w:type="character" w:styleId="9">
    <w:name w:val="Hyperlink"/>
    <w:unhideWhenUsed/>
    <w:uiPriority w:val="0"/>
    <w:rPr>
      <w:color w:val="136EC2"/>
      <w:u w:val="single"/>
    </w:rPr>
  </w:style>
  <w:style w:type="character" w:styleId="10">
    <w:name w:val="HTML Code"/>
    <w:unhideWhenUsed/>
    <w:uiPriority w:val="0"/>
    <w:rPr>
      <w:rFonts w:ascii="Courier New" w:hAnsi="Courier New" w:eastAsia="Courier New" w:cs="Courier New"/>
      <w:sz w:val="20"/>
    </w:rPr>
  </w:style>
  <w:style w:type="character" w:styleId="11">
    <w:name w:val="HTML Cite"/>
    <w:basedOn w:val="4"/>
    <w:unhideWhenUsed/>
    <w:uiPriority w:val="0"/>
    <w:rPr/>
  </w:style>
  <w:style w:type="character" w:styleId="12">
    <w:name w:val="HTML Keyboard"/>
    <w:unhideWhenUsed/>
    <w:uiPriority w:val="0"/>
    <w:rPr>
      <w:rFonts w:ascii="Courier New" w:hAnsi="Courier New" w:eastAsia="Courier New" w:cs="Courier New"/>
      <w:vanish/>
      <w:sz w:val="20"/>
    </w:rPr>
  </w:style>
  <w:style w:type="character" w:styleId="13">
    <w:name w:val="HTML Sample"/>
    <w:unhideWhenUsed/>
    <w:uiPriority w:val="0"/>
    <w:rPr>
      <w:rFonts w:ascii="Courier New" w:hAnsi="Courier New" w:eastAsia="Courier New" w:cs="Courier New"/>
    </w:rPr>
  </w:style>
  <w:style w:type="paragraph" w:customStyle="1" w:styleId="15">
    <w:name w:val="p0"/>
    <w:basedOn w:val="1"/>
    <w:uiPriority w:val="0"/>
    <w:pPr>
      <w:widowControl/>
    </w:pPr>
    <w:rPr>
      <w:kern w:val="0"/>
      <w:szCs w:val="21"/>
    </w:rPr>
  </w:style>
  <w:style w:type="character" w:customStyle="1" w:styleId="16">
    <w:name w:val="desc"/>
    <w:uiPriority w:val="0"/>
    <w:rPr>
      <w:color w:val="000000"/>
      <w:sz w:val="18"/>
      <w:szCs w:val="18"/>
    </w:rPr>
  </w:style>
  <w:style w:type="character" w:customStyle="1" w:styleId="17">
    <w:name w:val="bds_more"/>
    <w:basedOn w:val="4"/>
    <w:uiPriority w:val="0"/>
    <w:rPr/>
  </w:style>
  <w:style w:type="character" w:customStyle="1" w:styleId="18">
    <w:name w:val="bds_more1"/>
    <w:basedOn w:val="4"/>
    <w:uiPriority w:val="0"/>
    <w:rPr/>
  </w:style>
  <w:style w:type="character" w:customStyle="1" w:styleId="19">
    <w:name w:val="bds_more2"/>
    <w:uiPriority w:val="0"/>
    <w:rPr>
      <w:rFonts w:hint="eastAsia" w:ascii="宋体" w:hAnsi="宋体" w:eastAsia="宋体" w:cs="宋体"/>
    </w:rPr>
  </w:style>
  <w:style w:type="character" w:customStyle="1" w:styleId="20">
    <w:name w:val="bds_more3"/>
    <w:basedOn w:val="4"/>
    <w:uiPriority w:val="0"/>
    <w:rPr/>
  </w:style>
  <w:style w:type="character" w:customStyle="1" w:styleId="21">
    <w:name w:val="bds_more4"/>
    <w:basedOn w:val="4"/>
    <w:uiPriority w:val="0"/>
    <w:rPr/>
  </w:style>
  <w:style w:type="character" w:customStyle="1" w:styleId="22">
    <w:name w:val="sidecatalog-dot4"/>
    <w:basedOn w:val="4"/>
    <w:uiPriority w:val="0"/>
    <w:rPr/>
  </w:style>
  <w:style w:type="character" w:customStyle="1" w:styleId="23">
    <w:name w:val="sidecatalog-dot5"/>
    <w:basedOn w:val="4"/>
    <w:uiPriority w:val="0"/>
    <w:rPr/>
  </w:style>
  <w:style w:type="character" w:customStyle="1" w:styleId="24">
    <w:name w:val="sidecatalog-index1"/>
    <w:uiPriority w:val="0"/>
    <w:rPr>
      <w:rFonts w:ascii="Arial" w:hAnsi="Arial" w:cs="Arial"/>
      <w:b/>
      <w:color w:val="999999"/>
      <w:sz w:val="21"/>
      <w:szCs w:val="21"/>
    </w:rPr>
  </w:style>
  <w:style w:type="character" w:customStyle="1" w:styleId="25">
    <w:name w:val="sidecatalog-index2"/>
    <w:uiPriority w:val="0"/>
    <w:rPr>
      <w:rFonts w:ascii="Arail" w:hAnsi="Arail" w:eastAsia="Arail" w:cs="Arail"/>
      <w:color w:val="999999"/>
      <w:sz w:val="21"/>
      <w:szCs w:val="21"/>
    </w:rPr>
  </w:style>
  <w:style w:type="character" w:customStyle="1" w:styleId="26">
    <w:name w:val="morelink-item"/>
    <w:basedOn w:val="4"/>
    <w:uiPriority w:val="0"/>
    <w:rPr/>
  </w:style>
  <w:style w:type="character" w:customStyle="1" w:styleId="27">
    <w:name w:val="polysemyexp"/>
    <w:uiPriority w:val="0"/>
    <w:rPr>
      <w:color w:val="AAAAAA"/>
      <w:sz w:val="18"/>
      <w:szCs w:val="18"/>
    </w:rPr>
  </w:style>
  <w:style w:type="character" w:customStyle="1" w:styleId="28">
    <w:name w:val="polysemyred"/>
    <w:uiPriority w:val="0"/>
    <w:rPr>
      <w:color w:val="FF6666"/>
      <w:sz w:val="18"/>
      <w:szCs w:val="18"/>
    </w:rPr>
  </w:style>
  <w:style w:type="character" w:customStyle="1" w:styleId="29">
    <w:name w:val="plus"/>
    <w:uiPriority w:val="0"/>
    <w:rPr>
      <w:b/>
      <w:vanish/>
      <w:color w:val="1F8DEF"/>
      <w:sz w:val="24"/>
      <w:szCs w:val="24"/>
    </w:rPr>
  </w:style>
  <w:style w:type="character" w:customStyle="1" w:styleId="30">
    <w:name w:val="sort"/>
    <w:uiPriority w:val="0"/>
    <w:rPr>
      <w:color w:val="FFFFFF"/>
      <w:bdr w:val="single" w:color="auto" w:sz="24" w:space="0"/>
    </w:rPr>
  </w:style>
  <w:style w:type="character" w:customStyle="1" w:styleId="31">
    <w:name w:val="sort1"/>
    <w:basedOn w:val="4"/>
    <w:uiPriority w:val="0"/>
    <w:rPr/>
  </w:style>
  <w:style w:type="character" w:customStyle="1" w:styleId="32">
    <w:name w:val="lemmatitleh12"/>
    <w:basedOn w:val="4"/>
    <w:uiPriority w:val="0"/>
    <w:rPr/>
  </w:style>
  <w:style w:type="character" w:customStyle="1" w:styleId="33">
    <w:name w:val="bds_nopic"/>
    <w:basedOn w:val="4"/>
    <w:uiPriority w:val="0"/>
    <w:rPr/>
  </w:style>
  <w:style w:type="character" w:customStyle="1" w:styleId="34">
    <w:name w:val="bds_nopic1"/>
    <w:basedOn w:val="4"/>
    <w:uiPriority w:val="0"/>
    <w:rPr/>
  </w:style>
  <w:style w:type="character" w:customStyle="1" w:styleId="35">
    <w:name w:val="bds_nopic2"/>
    <w:basedOn w:val="4"/>
    <w:uiPriority w:val="0"/>
    <w:rPr/>
  </w:style>
  <w:style w:type="character" w:customStyle="1" w:styleId="36">
    <w:name w:val="页眉 Char"/>
    <w:link w:val="3"/>
    <w:uiPriority w:val="0"/>
    <w:rPr>
      <w:kern w:val="2"/>
      <w:sz w:val="18"/>
      <w:szCs w:val="18"/>
    </w:rPr>
  </w:style>
  <w:style w:type="character" w:customStyle="1" w:styleId="37">
    <w:name w:val="页脚 Char"/>
    <w:link w:val="2"/>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Brian</Company>
  <Pages>4</Pages>
  <Words>263</Words>
  <Characters>1502</Characters>
  <Lines>12</Lines>
  <Paragraphs>3</Paragraphs>
  <ScaleCrop>false</ScaleCrop>
  <LinksUpToDate>false</LinksUpToDate>
  <CharactersWithSpaces>0</CharactersWithSpaces>
  <Application>WPS Office_9.1.0.5218_F1E327BC-269C-435d-A152-05C5408002CA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2015-01-26T03:23:00Z</dcterms:created>
  <dc:creator>Brian Su</dc:creator>
  <cp:lastModifiedBy>jtk-801</cp:lastModifiedBy>
  <dcterms:modified xsi:type="dcterms:W3CDTF">2015-10-13T07:42:02Z</dcterms:modified>
  <dc:title>请小严帮助组织一下内容！</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2052-9.1.0.5218</vt:lpwstr>
  </property>
</Properties>
</file>